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770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  <w:gridCol w:w="7260"/>
      </w:tblGrid>
      <w:tr w:rsidR="00CD17F1" w:rsidRPr="00B54668" w:rsidTr="00B16805">
        <w:trPr>
          <w:gridAfter w:val="1"/>
          <w:wAfter w:w="7260" w:type="dxa"/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16805" w:rsidRPr="00B54668" w:rsidTr="00B1680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6805" w:rsidRPr="00B54668" w:rsidRDefault="00B16805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6805" w:rsidRPr="00E47B95" w:rsidRDefault="00B16805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6805" w:rsidRPr="00B16805" w:rsidRDefault="00B16805">
            <w:pPr>
              <w:divId w:val="2057511733"/>
              <w:rPr>
                <w:rFonts w:ascii="Candara" w:hAnsi="Candara" w:cs="Arial"/>
                <w:b/>
                <w:color w:val="777777"/>
                <w:sz w:val="36"/>
                <w:szCs w:val="36"/>
              </w:rPr>
            </w:pPr>
            <w:r w:rsidRPr="00B16805">
              <w:rPr>
                <w:rStyle w:val="gt-baf-word-clickable"/>
                <w:rFonts w:ascii="Candara" w:hAnsi="Candara" w:cs="Arial"/>
                <w:b/>
                <w:color w:val="000000"/>
                <w:sz w:val="36"/>
                <w:szCs w:val="36"/>
              </w:rPr>
              <w:t xml:space="preserve">Pedagogical Faculty in </w:t>
            </w:r>
            <w:proofErr w:type="spellStart"/>
            <w:r w:rsidRPr="00B16805">
              <w:rPr>
                <w:rStyle w:val="gt-baf-word-clickable"/>
                <w:rFonts w:ascii="Candara" w:hAnsi="Candara" w:cs="Arial"/>
                <w:b/>
                <w:color w:val="000000"/>
                <w:sz w:val="36"/>
                <w:szCs w:val="36"/>
              </w:rPr>
              <w:t>Vranje</w:t>
            </w:r>
            <w:proofErr w:type="spellEnd"/>
          </w:p>
        </w:tc>
        <w:tc>
          <w:tcPr>
            <w:tcW w:w="7260" w:type="dxa"/>
            <w:vAlign w:val="center"/>
          </w:tcPr>
          <w:p w:rsidR="00B16805" w:rsidRDefault="00B16805">
            <w:pPr>
              <w:rPr>
                <w:rFonts w:cs="Arial"/>
                <w:color w:val="777777"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16805" w:rsidRPr="00B54668" w:rsidRDefault="00B16805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35BA7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35BA7" w:rsidRPr="00B54668" w:rsidRDefault="00735BA7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35BA7" w:rsidRDefault="00735B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735BA7" w:rsidRDefault="00735BA7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735BA7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735BA7" w:rsidRPr="00B54668" w:rsidRDefault="00735BA7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35BA7" w:rsidRDefault="00735B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2F489A" w:rsidRDefault="002F489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</w:t>
            </w:r>
            <w:r w:rsidRPr="002F489A">
              <w:rPr>
                <w:rFonts w:ascii="Candara" w:hAnsi="Candara"/>
                <w:b/>
                <w:sz w:val="24"/>
                <w:szCs w:val="24"/>
              </w:rPr>
              <w:t>racticum of technical education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B54668" w:rsidRDefault="005E65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</w:rPr>
                <w:id w:val="-2074409764"/>
              </w:sdtPr>
              <w:sdtEndPr/>
              <w:sdtContent>
                <w:r w:rsidR="00B16805" w:rsidRPr="00A44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</w:rPr>
              <w:t xml:space="preserve"> </w:t>
            </w:r>
            <w:r w:rsidR="00B16805" w:rsidRPr="00B16805">
              <w:rPr>
                <w:rFonts w:ascii="Candara" w:hAnsi="Candara"/>
                <w:b/>
                <w:u w:val="single"/>
              </w:rPr>
              <w:t>Master’s</w:t>
            </w:r>
            <w:r w:rsidR="00B16805" w:rsidRPr="00B16805">
              <w:rPr>
                <w:rFonts w:ascii="Candara" w:hAnsi="Candara"/>
                <w:u w:val="single"/>
              </w:rPr>
              <w:t xml:space="preserve"> </w:t>
            </w:r>
            <w:r w:rsidR="00B16805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Doctoral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B54668" w:rsidRDefault="005E657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B16805" w:rsidRPr="00A44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8A6814">
              <w:rPr>
                <w:rFonts w:ascii="Candara" w:hAnsi="Candara"/>
                <w:b/>
              </w:rPr>
              <w:t xml:space="preserve"> </w:t>
            </w:r>
            <w:proofErr w:type="spellStart"/>
            <w:r w:rsidR="008A6814" w:rsidRPr="00A449A7">
              <w:rPr>
                <w:rFonts w:ascii="Candara" w:hAnsi="Candara"/>
                <w:i/>
                <w:u w:val="single"/>
              </w:rPr>
              <w:t>Obligato</w:t>
            </w:r>
            <w:r w:rsidR="00B16805" w:rsidRPr="00A449A7">
              <w:rPr>
                <w:rFonts w:ascii="Candara" w:hAnsi="Candara"/>
                <w:i/>
                <w:u w:val="single"/>
              </w:rPr>
              <w:t>y</w:t>
            </w:r>
            <w:proofErr w:type="spellEnd"/>
            <w:sdt>
              <w:sdtPr>
                <w:rPr>
                  <w:rFonts w:ascii="Candara" w:hAnsi="Candara"/>
                  <w:i/>
                </w:rPr>
                <w:id w:val="-1038746228"/>
              </w:sdtPr>
              <w:sdtEndPr/>
              <w:sdtContent>
                <w:r w:rsidR="008A6814" w:rsidRPr="00A449A7">
                  <w:rPr>
                    <w:rFonts w:ascii="Candara" w:hAnsi="Candara"/>
                    <w:i/>
                  </w:rPr>
                  <w:t xml:space="preserve">     </w:t>
                </w:r>
                <w:r w:rsidR="00B16805" w:rsidRPr="00A449A7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  <w:r w:rsidR="00B16805" w:rsidRPr="008A6814">
              <w:rPr>
                <w:rFonts w:ascii="Candara" w:hAnsi="Candara"/>
              </w:rPr>
              <w:t xml:space="preserve"> </w:t>
            </w:r>
            <w:r w:rsidR="00B16805" w:rsidRPr="00A449A7">
              <w:rPr>
                <w:rFonts w:ascii="Candara" w:hAnsi="Candara"/>
                <w:b/>
                <w:u w:val="single"/>
              </w:rPr>
              <w:t>Elective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B54668" w:rsidRDefault="005E657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B1680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1680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EndPr/>
              <w:sdtContent>
                <w:r w:rsidR="00B16805" w:rsidRPr="00B16805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B16805" w:rsidRPr="00B16805">
              <w:rPr>
                <w:rFonts w:ascii="Candara" w:hAnsi="Candara" w:cs="Arial"/>
                <w:b/>
                <w:u w:val="single"/>
                <w:lang w:val="en-US"/>
              </w:rPr>
              <w:t>Spring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B54668" w:rsidRDefault="00B16805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Pr="00A449A7" w:rsidRDefault="00A449A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B54668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Pr="00B16805" w:rsidRDefault="00A449A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B54668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Pr="00B16805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16805">
              <w:rPr>
                <w:rFonts w:ascii="Candara" w:hAnsi="Candara"/>
                <w:b/>
                <w:sz w:val="24"/>
                <w:szCs w:val="24"/>
              </w:rPr>
              <w:t xml:space="preserve">Ivan </w:t>
            </w:r>
            <w:proofErr w:type="spellStart"/>
            <w:r w:rsidRPr="00B16805">
              <w:rPr>
                <w:rFonts w:ascii="Candara" w:hAnsi="Candara"/>
                <w:b/>
                <w:sz w:val="24"/>
                <w:szCs w:val="24"/>
              </w:rPr>
              <w:t>Tasić</w:t>
            </w:r>
            <w:proofErr w:type="spellEnd"/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406F80" w:rsidRDefault="00B16805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Default="005E65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>
                <w:rPr>
                  <w:b/>
                  <w:u w:val="single"/>
                </w:rPr>
              </w:sdtEndPr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  <w:u w:val="single"/>
              </w:rPr>
              <w:t>Lectures</w:t>
            </w:r>
            <w:r w:rsidR="00B16805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Individual tutorials</w:t>
            </w:r>
          </w:p>
          <w:p w:rsidR="00B16805" w:rsidRDefault="005E65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8A6814">
                  <w:rPr>
                    <w:rFonts w:ascii="Candara" w:hAnsi="Candara"/>
                  </w:rPr>
                  <w:t xml:space="preserve">  </w:t>
                </w:r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 Seminar</w:t>
            </w:r>
          </w:p>
          <w:p w:rsidR="00B16805" w:rsidRPr="00B54668" w:rsidRDefault="005E657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 Other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vAlign w:val="center"/>
          </w:tcPr>
          <w:p w:rsidR="008A6814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Pr="00A449A7">
              <w:rPr>
                <w:rFonts w:ascii="Candara" w:hAnsi="Candara"/>
                <w:b/>
              </w:rPr>
              <w:t>cquiring knowledge on modern innovative teaching systems and methods of their interpretation, an</w:t>
            </w:r>
            <w:r>
              <w:rPr>
                <w:rFonts w:ascii="Candara" w:hAnsi="Candara"/>
                <w:b/>
              </w:rPr>
              <w:t>alysis</w:t>
            </w:r>
            <w:r w:rsidRPr="00A449A7">
              <w:rPr>
                <w:rFonts w:ascii="Candara" w:hAnsi="Candara"/>
                <w:b/>
              </w:rPr>
              <w:t xml:space="preserve"> components </w:t>
            </w:r>
            <w:r>
              <w:rPr>
                <w:rFonts w:ascii="Candara" w:hAnsi="Candara"/>
                <w:b/>
              </w:rPr>
              <w:t xml:space="preserve">of </w:t>
            </w:r>
            <w:r w:rsidRPr="00A449A7">
              <w:rPr>
                <w:rFonts w:ascii="Candara" w:hAnsi="Candara"/>
                <w:b/>
              </w:rPr>
              <w:t>methodical techniques, modern taxonomy of goals and tasks of teaching, methodology of development criteria</w:t>
            </w:r>
            <w:r>
              <w:rPr>
                <w:rFonts w:ascii="Candara" w:hAnsi="Candara"/>
                <w:b/>
              </w:rPr>
              <w:t xml:space="preserve"> of </w:t>
            </w:r>
            <w:r w:rsidRPr="00A449A7">
              <w:rPr>
                <w:rFonts w:ascii="Candara" w:hAnsi="Candara"/>
                <w:b/>
              </w:rPr>
              <w:t xml:space="preserve"> 'knowledge tests, planning of teaching and curriculum development</w:t>
            </w:r>
            <w:r>
              <w:rPr>
                <w:rFonts w:ascii="Candara" w:hAnsi="Candara"/>
                <w:b/>
              </w:rPr>
              <w:t xml:space="preserve">. </w:t>
            </w:r>
          </w:p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</w:p>
          <w:p w:rsidR="00A449A7" w:rsidRPr="008A6814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>Training students for practical teaching techniques for planning teaching and curriculum development</w:t>
            </w:r>
            <w:r>
              <w:rPr>
                <w:rFonts w:ascii="Candara" w:hAnsi="Candara"/>
                <w:b/>
              </w:rPr>
              <w:t>.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 xml:space="preserve">Methodical analysis techniques of the time. </w:t>
            </w:r>
          </w:p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 xml:space="preserve">Planning and preparation of teaching curricula. </w:t>
            </w:r>
          </w:p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 xml:space="preserve">Characteristics of a good textbook. </w:t>
            </w:r>
          </w:p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 xml:space="preserve">Construction of technical tasks according to the taxonomic model targeted tasks of teaching techniques. </w:t>
            </w:r>
          </w:p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 xml:space="preserve">The benchmark tests. </w:t>
            </w:r>
          </w:p>
          <w:p w:rsidR="00B16805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  <w:r w:rsidRPr="00A449A7">
              <w:rPr>
                <w:rFonts w:ascii="Candara" w:hAnsi="Candara"/>
                <w:b/>
              </w:rPr>
              <w:t>Troubleshooting.</w:t>
            </w:r>
          </w:p>
          <w:p w:rsidR="00A449A7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</w:p>
          <w:p w:rsidR="00A449A7" w:rsidRPr="00B54668" w:rsidRDefault="00A449A7" w:rsidP="008A6814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6805" w:rsidRPr="004E562D" w:rsidRDefault="005E65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  <w:u w:val="single"/>
              </w:rPr>
              <w:t>Serbian  (complete course)</w:t>
            </w:r>
            <w:r w:rsidR="00B16805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B16805" w:rsidRPr="004E562D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16805" w:rsidRPr="004E562D" w:rsidRDefault="005E65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>Serbian with other mentoring ______________</w:t>
            </w:r>
          </w:p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Points </w:t>
            </w:r>
            <w:r w:rsidR="00DD4ED4">
              <w:rPr>
                <w:rFonts w:ascii="Candara" w:hAnsi="Candara"/>
                <w:b/>
              </w:rPr>
              <w:t xml:space="preserve">  </w:t>
            </w:r>
            <w:r w:rsidR="00A449A7">
              <w:rPr>
                <w:rFonts w:ascii="Candara" w:hAnsi="Candara"/>
                <w:b/>
                <w:sz w:val="24"/>
                <w:szCs w:val="24"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B16805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 </w:t>
            </w:r>
            <w:r w:rsidRPr="00DD4ED4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A449A7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Pr="00DD4ED4" w:rsidRDefault="00A449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Pr="008A6814" w:rsidRDefault="00A449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8A6814" w:rsidRPr="008A6814">
              <w:rPr>
                <w:rFonts w:ascii="Candara" w:hAnsi="Candara"/>
                <w:b/>
              </w:rPr>
              <w:t>0*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Pr="00DD4ED4" w:rsidRDefault="00A449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Pr="008A6814" w:rsidRDefault="00A449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Default="00A449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Pr="008A6814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A6814">
              <w:rPr>
                <w:rFonts w:ascii="Candara" w:hAnsi="Candara"/>
                <w:b/>
              </w:rPr>
              <w:t>100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A6814" w:rsidRDefault="008A68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8A6814" w:rsidRDefault="008A68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>
              <w:t xml:space="preserve"> </w:t>
            </w:r>
            <w:r>
              <w:rPr>
                <w:rFonts w:ascii="Candara" w:hAnsi="Candara"/>
                <w:b/>
              </w:rPr>
              <w:t>T</w:t>
            </w:r>
            <w:r w:rsidRPr="008A6814">
              <w:rPr>
                <w:rFonts w:ascii="Candara" w:hAnsi="Candara"/>
                <w:b/>
              </w:rPr>
              <w:t>aking an</w:t>
            </w:r>
            <w:r>
              <w:rPr>
                <w:rFonts w:ascii="Candara" w:hAnsi="Candara"/>
                <w:b/>
              </w:rPr>
              <w:t xml:space="preserve"> </w:t>
            </w:r>
            <w:r w:rsidRPr="001F14FA">
              <w:rPr>
                <w:rFonts w:ascii="Candara" w:hAnsi="Candara"/>
                <w:b/>
              </w:rPr>
              <w:t>colloquia</w:t>
            </w:r>
            <w:r>
              <w:rPr>
                <w:rFonts w:ascii="Candara" w:hAnsi="Candara"/>
                <w:b/>
              </w:rPr>
              <w:t xml:space="preserve"> </w:t>
            </w:r>
            <w:r w:rsidRPr="008A6814">
              <w:rPr>
                <w:rFonts w:ascii="Candara" w:hAnsi="Candara"/>
                <w:b/>
              </w:rPr>
              <w:t>released</w:t>
            </w:r>
            <w:r>
              <w:rPr>
                <w:rFonts w:ascii="Candara" w:hAnsi="Candara"/>
                <w:b/>
              </w:rPr>
              <w:t xml:space="preserve"> </w:t>
            </w:r>
            <w:r w:rsidRPr="008A6814">
              <w:rPr>
                <w:rFonts w:ascii="Candara" w:hAnsi="Candara"/>
                <w:b/>
              </w:rPr>
              <w:t>students</w:t>
            </w:r>
            <w:r>
              <w:rPr>
                <w:rFonts w:ascii="Candara" w:hAnsi="Candara"/>
                <w:b/>
              </w:rPr>
              <w:t xml:space="preserve"> of taking</w:t>
            </w:r>
            <w:r w:rsidRPr="008A6814">
              <w:rPr>
                <w:rFonts w:ascii="Candara" w:hAnsi="Candara"/>
                <w:b/>
              </w:rPr>
              <w:t xml:space="preserve"> the written part of the exam</w:t>
            </w:r>
          </w:p>
          <w:p w:rsidR="008A6814" w:rsidRDefault="008A68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examination mark is formed in accordance with the Institutional documents</w:t>
            </w:r>
          </w:p>
          <w:p w:rsidR="008A6814" w:rsidRDefault="008A68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77" w:rsidRDefault="005E6577" w:rsidP="00864926">
      <w:pPr>
        <w:spacing w:after="0" w:line="240" w:lineRule="auto"/>
      </w:pPr>
      <w:r>
        <w:separator/>
      </w:r>
    </w:p>
  </w:endnote>
  <w:endnote w:type="continuationSeparator" w:id="0">
    <w:p w:rsidR="005E6577" w:rsidRDefault="005E657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77" w:rsidRDefault="005E6577" w:rsidP="00864926">
      <w:pPr>
        <w:spacing w:after="0" w:line="240" w:lineRule="auto"/>
      </w:pPr>
      <w:r>
        <w:separator/>
      </w:r>
    </w:p>
  </w:footnote>
  <w:footnote w:type="continuationSeparator" w:id="0">
    <w:p w:rsidR="005E6577" w:rsidRDefault="005E657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86A63"/>
    <w:rsid w:val="001D3BF1"/>
    <w:rsid w:val="001D64D3"/>
    <w:rsid w:val="001F14FA"/>
    <w:rsid w:val="001F60E3"/>
    <w:rsid w:val="002319B6"/>
    <w:rsid w:val="002F489A"/>
    <w:rsid w:val="00315601"/>
    <w:rsid w:val="00323176"/>
    <w:rsid w:val="003B32A9"/>
    <w:rsid w:val="003C177A"/>
    <w:rsid w:val="00403001"/>
    <w:rsid w:val="00406F80"/>
    <w:rsid w:val="00426F5A"/>
    <w:rsid w:val="00431EFA"/>
    <w:rsid w:val="00493925"/>
    <w:rsid w:val="004D1C7E"/>
    <w:rsid w:val="004E562D"/>
    <w:rsid w:val="00523A6E"/>
    <w:rsid w:val="00597078"/>
    <w:rsid w:val="005A5D38"/>
    <w:rsid w:val="005B0885"/>
    <w:rsid w:val="005B64BF"/>
    <w:rsid w:val="005D46D7"/>
    <w:rsid w:val="005E6577"/>
    <w:rsid w:val="00603117"/>
    <w:rsid w:val="0069043C"/>
    <w:rsid w:val="006E40AE"/>
    <w:rsid w:val="006F647C"/>
    <w:rsid w:val="00735BA7"/>
    <w:rsid w:val="00783C57"/>
    <w:rsid w:val="00792CB4"/>
    <w:rsid w:val="00864926"/>
    <w:rsid w:val="008A30CE"/>
    <w:rsid w:val="008A6814"/>
    <w:rsid w:val="008B1D6B"/>
    <w:rsid w:val="008C31B7"/>
    <w:rsid w:val="00911529"/>
    <w:rsid w:val="00932B21"/>
    <w:rsid w:val="0096539C"/>
    <w:rsid w:val="00972302"/>
    <w:rsid w:val="009906EA"/>
    <w:rsid w:val="009D3F5E"/>
    <w:rsid w:val="009F3F9F"/>
    <w:rsid w:val="00A10286"/>
    <w:rsid w:val="00A1335D"/>
    <w:rsid w:val="00A449A7"/>
    <w:rsid w:val="00AF47A6"/>
    <w:rsid w:val="00B16805"/>
    <w:rsid w:val="00B27068"/>
    <w:rsid w:val="00B50491"/>
    <w:rsid w:val="00B54668"/>
    <w:rsid w:val="00B9521A"/>
    <w:rsid w:val="00BD3504"/>
    <w:rsid w:val="00C63234"/>
    <w:rsid w:val="00CA6D81"/>
    <w:rsid w:val="00CC23C3"/>
    <w:rsid w:val="00CD17F1"/>
    <w:rsid w:val="00D84BF6"/>
    <w:rsid w:val="00D92F39"/>
    <w:rsid w:val="00DB43CC"/>
    <w:rsid w:val="00DD4ED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B16805"/>
  </w:style>
  <w:style w:type="paragraph" w:styleId="ListParagraph">
    <w:name w:val="List Paragraph"/>
    <w:basedOn w:val="Normal"/>
    <w:uiPriority w:val="34"/>
    <w:qFormat/>
    <w:rsid w:val="00B1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435B-7CB4-4DDA-8081-7A6604D6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7</cp:revision>
  <cp:lastPrinted>2015-12-23T11:47:00Z</cp:lastPrinted>
  <dcterms:created xsi:type="dcterms:W3CDTF">2016-03-15T09:41:00Z</dcterms:created>
  <dcterms:modified xsi:type="dcterms:W3CDTF">2016-04-15T09:13:00Z</dcterms:modified>
</cp:coreProperties>
</file>