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A2" w:rsidRPr="00C844A2" w:rsidRDefault="00C844A2" w:rsidP="00C844A2">
      <w:pPr>
        <w:ind w:left="1089"/>
        <w:jc w:val="left"/>
        <w:rPr>
          <w:rFonts w:ascii="Times New Roman" w:eastAsia="Times New Roman" w:hAnsi="Times New Roman" w:cs="Times New Roman"/>
          <w:sz w:val="24"/>
          <w:szCs w:val="24"/>
        </w:rPr>
      </w:pPr>
    </w:p>
    <w:tbl>
      <w:tblPr>
        <w:tblW w:w="1047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1258"/>
        <w:gridCol w:w="136"/>
        <w:gridCol w:w="521"/>
        <w:gridCol w:w="718"/>
        <w:gridCol w:w="1954"/>
        <w:gridCol w:w="3526"/>
      </w:tblGrid>
      <w:tr w:rsidR="00C844A2" w:rsidRPr="00C844A2" w:rsidTr="00C844A2">
        <w:trPr>
          <w:trHeight w:val="72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jc w:val="left"/>
              <w:rPr>
                <w:rFonts w:ascii="Times New Roman" w:eastAsia="Times New Roman" w:hAnsi="Times New Roman" w:cs="Times New Roman"/>
                <w:sz w:val="24"/>
                <w:szCs w:val="24"/>
              </w:rPr>
            </w:pPr>
            <w:r w:rsidRPr="00C844A2">
              <w:rPr>
                <w:rFonts w:ascii="Candara" w:eastAsia="Times New Roman" w:hAnsi="Candara" w:cs="Times New Roman"/>
                <w:b/>
                <w:bCs/>
                <w:sz w:val="36"/>
                <w:szCs w:val="36"/>
              </w:rPr>
              <w:t>UNIVERSITY OF NIŠ</w:t>
            </w:r>
          </w:p>
          <w:p w:rsidR="00C844A2" w:rsidRPr="00C844A2" w:rsidRDefault="00C844A2" w:rsidP="00C844A2">
            <w:pPr>
              <w:spacing w:after="119"/>
              <w:jc w:val="left"/>
              <w:rPr>
                <w:rFonts w:ascii="Times New Roman" w:eastAsia="Times New Roman" w:hAnsi="Times New Roman" w:cs="Times New Roman"/>
                <w:sz w:val="24"/>
                <w:szCs w:val="24"/>
              </w:rPr>
            </w:pPr>
          </w:p>
        </w:tc>
      </w:tr>
      <w:tr w:rsidR="00C844A2" w:rsidRPr="00C844A2" w:rsidTr="00C844A2">
        <w:trPr>
          <w:trHeight w:val="525"/>
          <w:tblCellSpacing w:w="7" w:type="dxa"/>
        </w:trPr>
        <w:tc>
          <w:tcPr>
            <w:tcW w:w="3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36"/>
                <w:szCs w:val="36"/>
              </w:rPr>
              <w:t>Course Unit Descriptor</w:t>
            </w:r>
          </w:p>
        </w:tc>
        <w:tc>
          <w:tcPr>
            <w:tcW w:w="136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36"/>
                <w:szCs w:val="36"/>
              </w:rPr>
              <w:t>Faculty</w:t>
            </w:r>
            <w:r w:rsidRPr="00C844A2">
              <w:rPr>
                <w:rFonts w:ascii="Candara" w:eastAsia="Times New Roman" w:hAnsi="Candara" w:cs="Times New Roman"/>
                <w:b/>
                <w:bCs/>
                <w:color w:val="548DD4"/>
                <w:sz w:val="36"/>
                <w:szCs w:val="36"/>
              </w:rPr>
              <w:t xml:space="preserve"> </w:t>
            </w:r>
          </w:p>
        </w:tc>
        <w:tc>
          <w:tcPr>
            <w:tcW w:w="545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Pedagogical Faculty</w:t>
            </w:r>
            <w:r w:rsidR="006B22CD">
              <w:rPr>
                <w:rFonts w:ascii="Candara" w:eastAsia="Times New Roman" w:hAnsi="Candara" w:cs="Times New Roman"/>
                <w:sz w:val="24"/>
                <w:szCs w:val="24"/>
              </w:rPr>
              <w:t xml:space="preserve"> in</w:t>
            </w:r>
            <w:r>
              <w:rPr>
                <w:rFonts w:ascii="Candara" w:eastAsia="Times New Roman" w:hAnsi="Candara" w:cs="Times New Roman"/>
                <w:sz w:val="24"/>
                <w:szCs w:val="24"/>
              </w:rPr>
              <w:t xml:space="preserve"> Vranje</w:t>
            </w:r>
          </w:p>
        </w:tc>
      </w:tr>
      <w:tr w:rsidR="00C844A2" w:rsidRPr="00C844A2" w:rsidTr="00C844A2">
        <w:trPr>
          <w:trHeight w:val="30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GENERAL INFORMATION</w:t>
            </w:r>
          </w:p>
        </w:tc>
      </w:tr>
      <w:tr w:rsidR="00AF32DD"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AF32DD" w:rsidRPr="00B54668" w:rsidRDefault="00AF32DD" w:rsidP="000E6FA3">
            <w:pPr>
              <w:contextualSpacing/>
              <w:rPr>
                <w:rFonts w:ascii="Candara" w:hAnsi="Candara"/>
              </w:rPr>
            </w:pPr>
            <w:bookmarkStart w:id="0" w:name="_GoBack" w:colFirst="1" w:colLast="1"/>
            <w:r w:rsidRPr="00B54668">
              <w:rPr>
                <w:rFonts w:ascii="Candara" w:hAnsi="Candara"/>
              </w:rPr>
              <w:t xml:space="preserve">Study program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AF32DD" w:rsidRDefault="00AF32DD">
            <w:pPr>
              <w:autoSpaceDE w:val="0"/>
              <w:autoSpaceDN w:val="0"/>
              <w:adjustRightInd w:val="0"/>
              <w:jc w:val="left"/>
              <w:rPr>
                <w:rFonts w:ascii="Candara" w:eastAsia="Times New Roman" w:hAnsi="Candara"/>
                <w:b/>
                <w:color w:val="548DD4" w:themeColor="text2" w:themeTint="99"/>
                <w:sz w:val="24"/>
                <w:szCs w:val="24"/>
                <w:lang w:val="en-GB"/>
              </w:rPr>
            </w:pPr>
            <w:r>
              <w:rPr>
                <w:rFonts w:ascii="Candara" w:hAnsi="Candara" w:cs="OpenSans-Semibold"/>
                <w:b/>
                <w:color w:val="00B0F0"/>
                <w:sz w:val="24"/>
                <w:szCs w:val="24"/>
              </w:rPr>
              <w:t xml:space="preserve">    </w:t>
            </w:r>
          </w:p>
          <w:p w:rsidR="00AF32DD" w:rsidRDefault="00AF32DD">
            <w:pPr>
              <w:suppressAutoHyphens/>
              <w:spacing w:after="120"/>
              <w:jc w:val="left"/>
              <w:rPr>
                <w:rFonts w:ascii="Arial" w:eastAsia="Times New Roman" w:hAnsi="Arial" w:cs="Arial"/>
                <w:b/>
                <w:color w:val="00B0F0"/>
                <w:sz w:val="24"/>
                <w:szCs w:val="24"/>
                <w:lang w:val="en-GB"/>
              </w:rPr>
            </w:pPr>
            <w:r>
              <w:rPr>
                <w:rFonts w:cs="Arial"/>
                <w:color w:val="00B0F0"/>
                <w:sz w:val="24"/>
                <w:szCs w:val="24"/>
              </w:rPr>
              <w:t>Technical Education and Informatics</w:t>
            </w:r>
          </w:p>
        </w:tc>
      </w:tr>
      <w:tr w:rsidR="00AF32DD"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AF32DD" w:rsidRPr="00B54668" w:rsidRDefault="00AF32DD" w:rsidP="000E6FA3">
            <w:pPr>
              <w:contextualSpacing/>
              <w:rPr>
                <w:rFonts w:ascii="Candara" w:hAnsi="Candara"/>
              </w:rPr>
            </w:pPr>
            <w:r>
              <w:rPr>
                <w:rFonts w:ascii="Candara" w:hAnsi="Candara"/>
              </w:rPr>
              <w:t>Study Module  (if applicable)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AF32DD" w:rsidRDefault="00AF32DD">
            <w:pPr>
              <w:autoSpaceDE w:val="0"/>
              <w:autoSpaceDN w:val="0"/>
              <w:adjustRightInd w:val="0"/>
              <w:jc w:val="left"/>
              <w:rPr>
                <w:rFonts w:ascii="Candara" w:eastAsia="Times New Roman" w:hAnsi="Candara" w:cs="Times New Roman"/>
                <w:sz w:val="20"/>
                <w:szCs w:val="20"/>
                <w:lang w:val="en-GB"/>
              </w:rPr>
            </w:pPr>
            <w:r>
              <w:rPr>
                <w:rFonts w:ascii="Candara" w:hAnsi="Candara"/>
                <w:sz w:val="20"/>
                <w:szCs w:val="20"/>
              </w:rPr>
              <w:t>/</w:t>
            </w:r>
          </w:p>
        </w:tc>
      </w:tr>
      <w:bookmarkEnd w:id="0"/>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Course title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Candara" w:eastAsia="Times New Roman" w:hAnsi="Candara" w:cs="Times New Roman"/>
                <w:sz w:val="24"/>
                <w:szCs w:val="24"/>
              </w:rPr>
            </w:pPr>
            <w:r w:rsidRPr="00C844A2">
              <w:rPr>
                <w:rFonts w:ascii="Candara" w:eastAsia="Times New Roman" w:hAnsi="Candara" w:cs="Times New Roman"/>
                <w:color w:val="000000"/>
                <w:sz w:val="24"/>
                <w:szCs w:val="24"/>
              </w:rPr>
              <w:t>Theoretical Problems of Didactics</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Level of study</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Bachelor </w:t>
            </w:r>
            <w:r>
              <w:rPr>
                <w:rFonts w:ascii="MS Mincho" w:eastAsia="MS Mincho" w:hAnsi="MS Mincho" w:cs="MS Mincho" w:hint="eastAsia"/>
                <w:sz w:val="24"/>
                <w:szCs w:val="24"/>
              </w:rPr>
              <w:t>☒</w:t>
            </w:r>
            <w:r w:rsidRPr="00C844A2">
              <w:rPr>
                <w:rFonts w:ascii="Candara" w:eastAsia="Times New Roman" w:hAnsi="Candara" w:cs="Times New Roman"/>
                <w:sz w:val="24"/>
                <w:szCs w:val="24"/>
              </w:rPr>
              <w:t xml:space="preserve"> </w:t>
            </w:r>
            <w:r w:rsidRPr="00C844A2">
              <w:rPr>
                <w:rFonts w:ascii="Candara" w:eastAsia="Times New Roman" w:hAnsi="Candara" w:cs="Times New Roman"/>
                <w:bCs/>
                <w:sz w:val="24"/>
                <w:szCs w:val="24"/>
              </w:rPr>
              <w:t xml:space="preserve">Master’s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Doctoral</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Type of course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C844A2">
              <w:rPr>
                <w:rFonts w:ascii="Times New Roman" w:eastAsia="Times New Roman" w:hAnsi="Times New Roman" w:cs="Times New Roman"/>
                <w:sz w:val="24"/>
                <w:szCs w:val="24"/>
              </w:rPr>
              <w:t xml:space="preserve"> </w:t>
            </w:r>
            <w:r w:rsidRPr="00C844A2">
              <w:rPr>
                <w:rFonts w:ascii="Candara" w:eastAsia="Times New Roman" w:hAnsi="Candara" w:cs="Times New Roman"/>
                <w:bCs/>
                <w:sz w:val="24"/>
                <w:szCs w:val="24"/>
              </w:rPr>
              <w:t xml:space="preserve">Obligatory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Elective</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 xml:space="preserve">Semester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C844A2">
              <w:rPr>
                <w:rFonts w:ascii="Times New Roman" w:eastAsia="Times New Roman" w:hAnsi="Times New Roman" w:cs="Times New Roman"/>
                <w:sz w:val="24"/>
                <w:szCs w:val="24"/>
              </w:rPr>
              <w:t xml:space="preserve"> </w:t>
            </w:r>
            <w:r w:rsidRPr="00C844A2">
              <w:rPr>
                <w:rFonts w:ascii="Candara" w:eastAsia="Times New Roman" w:hAnsi="Candara" w:cs="Times New Roman"/>
                <w:sz w:val="24"/>
                <w:szCs w:val="24"/>
              </w:rPr>
              <w:t xml:space="preserve">Autumn </w:t>
            </w:r>
            <w:r w:rsidRPr="00C844A2">
              <w:rPr>
                <w:rFonts w:ascii="MS Mincho" w:eastAsia="MS Mincho" w:hAnsi="MS Mincho" w:cs="MS Mincho"/>
                <w:sz w:val="24"/>
                <w:szCs w:val="24"/>
              </w:rPr>
              <w:t>☐</w:t>
            </w:r>
            <w:r w:rsidRPr="00C844A2">
              <w:rPr>
                <w:rFonts w:ascii="Candara" w:eastAsia="Times New Roman" w:hAnsi="Candara" w:cs="Times New Roman"/>
                <w:sz w:val="24"/>
                <w:szCs w:val="24"/>
              </w:rPr>
              <w:t>Spring</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 xml:space="preserve">Year of study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Pr>
                <w:rFonts w:ascii="Candara" w:eastAsia="Times New Roman" w:hAnsi="Candara" w:cs="Times New Roman"/>
                <w:sz w:val="24"/>
                <w:szCs w:val="24"/>
              </w:rPr>
              <w:t>Fifth</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Number of ECTS allocated</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Pr>
                <w:rFonts w:ascii="Candara" w:eastAsia="Times New Roman" w:hAnsi="Candara" w:cs="Times New Roman"/>
                <w:sz w:val="24"/>
                <w:szCs w:val="24"/>
              </w:rPr>
              <w:t>5</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Name of lecturer/lecturers</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Dragana Stanojević</w:t>
            </w:r>
          </w:p>
        </w:tc>
      </w:tr>
      <w:tr w:rsidR="00C844A2" w:rsidRPr="00C844A2" w:rsidTr="00C844A2">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4"/>
                <w:szCs w:val="24"/>
              </w:rPr>
              <w:t>Teaching mode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C844A2">
              <w:rPr>
                <w:rFonts w:ascii="Candara" w:eastAsia="Times New Roman" w:hAnsi="Candara" w:cs="Times New Roman"/>
                <w:bCs/>
                <w:sz w:val="24"/>
                <w:szCs w:val="24"/>
              </w:rPr>
              <w:t xml:space="preserve">Lectures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Group tutorials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Individual tutorials</w:t>
            </w:r>
          </w:p>
          <w:p w:rsidR="00C844A2" w:rsidRPr="00C844A2" w:rsidRDefault="00C844A2" w:rsidP="00C844A2">
            <w:pPr>
              <w:jc w:val="left"/>
              <w:rPr>
                <w:rFonts w:ascii="Times New Roman" w:eastAsia="Times New Roman" w:hAnsi="Times New Roman" w:cs="Times New Roman"/>
                <w:sz w:val="24"/>
                <w:szCs w:val="24"/>
              </w:rPr>
            </w:pP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Laboratory work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Project work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Seminar</w:t>
            </w:r>
          </w:p>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Distance learning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Blended learning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Other</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PURPOSE AND OVERVIEW (max. 5 sentences)</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rPr>
                <w:rFonts w:ascii="Candara" w:eastAsia="Times New Roman" w:hAnsi="Candara" w:cs="Times New Roman"/>
                <w:sz w:val="20"/>
                <w:szCs w:val="20"/>
              </w:rPr>
            </w:pPr>
            <w:r w:rsidRPr="00C844A2">
              <w:rPr>
                <w:rFonts w:ascii="Candara" w:eastAsia="Times New Roman" w:hAnsi="Candara" w:cs="Times New Roman"/>
                <w:sz w:val="20"/>
                <w:szCs w:val="20"/>
              </w:rPr>
              <w:lastRenderedPageBreak/>
              <w:t>The aim of the course: Students learn about the theoretical problems of didactics, learn theory and models of teaching process develop critical and creative relationship from theory to practice, learn about different methodological starting points for the study of the teaching process and enable themselves for application of knowledge in the classroom.</w:t>
            </w:r>
          </w:p>
          <w:p w:rsidR="00C844A2" w:rsidRPr="00C844A2" w:rsidRDefault="00C844A2" w:rsidP="00C844A2">
            <w:pPr>
              <w:spacing w:after="119"/>
              <w:rPr>
                <w:rFonts w:ascii="Times New Roman" w:eastAsia="Times New Roman" w:hAnsi="Times New Roman" w:cs="Times New Roman"/>
                <w:sz w:val="24"/>
                <w:szCs w:val="24"/>
              </w:rPr>
            </w:pPr>
            <w:r w:rsidRPr="00C844A2">
              <w:rPr>
                <w:rFonts w:ascii="Candara" w:eastAsia="Times New Roman" w:hAnsi="Candara" w:cs="Times New Roman"/>
                <w:color w:val="000000"/>
                <w:sz w:val="20"/>
                <w:szCs w:val="20"/>
              </w:rPr>
              <w:t>Outcome: It consists of enabling students to learn and understand the basic didactic </w:t>
            </w:r>
            <w:r w:rsidRPr="00C844A2">
              <w:rPr>
                <w:rFonts w:ascii="Candara" w:eastAsia="Times New Roman" w:hAnsi="Candara" w:cs="Times New Roman"/>
                <w:color w:val="000000"/>
                <w:sz w:val="20"/>
                <w:szCs w:val="20"/>
              </w:rPr>
              <w:br/>
              <w:t>rules of the teaching process, training to explain the interaction between the factors of teaching in </w:t>
            </w:r>
            <w:r w:rsidRPr="00C844A2">
              <w:rPr>
                <w:rFonts w:ascii="Candara" w:eastAsia="Times New Roman" w:hAnsi="Candara" w:cs="Times New Roman"/>
                <w:color w:val="000000"/>
                <w:sz w:val="20"/>
                <w:szCs w:val="20"/>
              </w:rPr>
              <w:br/>
              <w:t>the educational process. The training of future graduates teachers for practical application and use of </w:t>
            </w:r>
            <w:r w:rsidRPr="00C844A2">
              <w:rPr>
                <w:rFonts w:ascii="Candara" w:eastAsia="Times New Roman" w:hAnsi="Candara" w:cs="Times New Roman"/>
                <w:color w:val="000000"/>
                <w:sz w:val="20"/>
                <w:szCs w:val="20"/>
              </w:rPr>
              <w:br/>
              <w:t>appropriate teaching strategies in the process of education. The ability to link the lessons learned with theoretical </w:t>
            </w:r>
            <w:r w:rsidRPr="00C844A2">
              <w:rPr>
                <w:rFonts w:ascii="Candara" w:eastAsia="Times New Roman" w:hAnsi="Candara" w:cs="Times New Roman"/>
                <w:color w:val="000000"/>
                <w:sz w:val="20"/>
                <w:szCs w:val="20"/>
              </w:rPr>
              <w:br/>
              <w:t>concepts and practical application.</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SYLLABUS (brief outline and summary of topics, max. 10 sentences)</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Course content: </w:t>
            </w:r>
          </w:p>
          <w:p w:rsidR="00C844A2" w:rsidRPr="00C844A2" w:rsidRDefault="00C844A2" w:rsidP="00C844A2">
            <w:p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Lectures </w:t>
            </w:r>
          </w:p>
          <w:p w:rsidR="00C844A2" w:rsidRPr="00C844A2" w:rsidRDefault="00C844A2" w:rsidP="00C844A2">
            <w:pPr>
              <w:numPr>
                <w:ilvl w:val="0"/>
                <w:numId w:val="1"/>
              </w:num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Development of didactic thought. </w:t>
            </w:r>
          </w:p>
          <w:p w:rsidR="00C844A2" w:rsidRPr="00C844A2" w:rsidRDefault="00C844A2" w:rsidP="00C844A2">
            <w:pPr>
              <w:numPr>
                <w:ilvl w:val="0"/>
                <w:numId w:val="1"/>
              </w:num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Systems and models of teaching as a theoretical concept for defining application </w:t>
            </w:r>
          </w:p>
          <w:p w:rsidR="00C844A2" w:rsidRPr="00C844A2" w:rsidRDefault="00C844A2" w:rsidP="00C844A2">
            <w:pPr>
              <w:jc w:val="left"/>
              <w:rPr>
                <w:rFonts w:ascii="Candara" w:eastAsia="Times New Roman" w:hAnsi="Candara" w:cs="Times New Roman"/>
                <w:sz w:val="20"/>
                <w:szCs w:val="20"/>
              </w:rPr>
            </w:pPr>
            <w:proofErr w:type="gramStart"/>
            <w:r w:rsidRPr="00C844A2">
              <w:rPr>
                <w:rFonts w:ascii="Candara" w:eastAsia="Times New Roman" w:hAnsi="Candara" w:cs="Times New Roman"/>
                <w:sz w:val="20"/>
                <w:szCs w:val="20"/>
              </w:rPr>
              <w:t>options</w:t>
            </w:r>
            <w:proofErr w:type="gramEnd"/>
            <w:r w:rsidRPr="00C844A2">
              <w:rPr>
                <w:rFonts w:ascii="Candara" w:eastAsia="Times New Roman" w:hAnsi="Candara" w:cs="Times New Roman"/>
                <w:sz w:val="20"/>
                <w:szCs w:val="20"/>
              </w:rPr>
              <w:t xml:space="preserve"> in classroom instruction. </w:t>
            </w:r>
          </w:p>
          <w:p w:rsidR="00C844A2" w:rsidRPr="00C844A2" w:rsidRDefault="00C844A2" w:rsidP="00C844A2">
            <w:pPr>
              <w:numPr>
                <w:ilvl w:val="0"/>
                <w:numId w:val="2"/>
              </w:num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Didactic and learning models. </w:t>
            </w:r>
          </w:p>
          <w:p w:rsidR="00C844A2" w:rsidRPr="00C844A2" w:rsidRDefault="00C844A2" w:rsidP="00C844A2">
            <w:pPr>
              <w:numPr>
                <w:ilvl w:val="0"/>
                <w:numId w:val="2"/>
              </w:num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Different paradigms and theoretical </w:t>
            </w:r>
          </w:p>
          <w:p w:rsidR="00C844A2" w:rsidRPr="00C844A2" w:rsidRDefault="00C844A2" w:rsidP="00C844A2">
            <w:pPr>
              <w:jc w:val="left"/>
              <w:rPr>
                <w:rFonts w:ascii="Candara" w:eastAsia="Times New Roman" w:hAnsi="Candara" w:cs="Times New Roman"/>
                <w:sz w:val="20"/>
                <w:szCs w:val="20"/>
              </w:rPr>
            </w:pPr>
            <w:proofErr w:type="gramStart"/>
            <w:r w:rsidRPr="00C844A2">
              <w:rPr>
                <w:rFonts w:ascii="Candara" w:eastAsia="Times New Roman" w:hAnsi="Candara" w:cs="Times New Roman"/>
                <w:sz w:val="20"/>
                <w:szCs w:val="20"/>
              </w:rPr>
              <w:t>and</w:t>
            </w:r>
            <w:proofErr w:type="gramEnd"/>
            <w:r w:rsidRPr="00C844A2">
              <w:rPr>
                <w:rFonts w:ascii="Candara" w:eastAsia="Times New Roman" w:hAnsi="Candara" w:cs="Times New Roman"/>
                <w:sz w:val="20"/>
                <w:szCs w:val="20"/>
              </w:rPr>
              <w:t xml:space="preserve"> methodological foundation of the teaching process. </w:t>
            </w:r>
          </w:p>
          <w:p w:rsidR="00C844A2" w:rsidRPr="00C844A2" w:rsidRDefault="00C844A2" w:rsidP="00C844A2">
            <w:p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5. Models of the teaching process at the level of classroom teaching. </w:t>
            </w:r>
          </w:p>
          <w:p w:rsidR="00C844A2" w:rsidRPr="00C844A2" w:rsidRDefault="00C844A2" w:rsidP="00C844A2">
            <w:p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6. Didactic aspects of the planning and programming of the curriculum of educational work. </w:t>
            </w:r>
          </w:p>
          <w:p w:rsidR="00C844A2" w:rsidRPr="00C844A2" w:rsidRDefault="00C844A2" w:rsidP="00C844A2">
            <w:pPr>
              <w:jc w:val="left"/>
              <w:rPr>
                <w:rFonts w:ascii="Candara" w:eastAsia="Times New Roman" w:hAnsi="Candara" w:cs="Times New Roman"/>
                <w:sz w:val="20"/>
                <w:szCs w:val="20"/>
              </w:rPr>
            </w:pPr>
            <w:r w:rsidRPr="00C844A2">
              <w:rPr>
                <w:rFonts w:ascii="Candara" w:eastAsia="Times New Roman" w:hAnsi="Candara" w:cs="Times New Roman"/>
                <w:sz w:val="20"/>
                <w:szCs w:val="20"/>
              </w:rPr>
              <w:t xml:space="preserve">Practical classes: </w:t>
            </w:r>
          </w:p>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sz w:val="20"/>
                <w:szCs w:val="20"/>
              </w:rPr>
              <w:t>Alternative didactic concept and application possibilities of the original model in practice.</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LANGUAGE OF INSTRUCTION</w:t>
            </w: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C844A2">
              <w:rPr>
                <w:rFonts w:ascii="Candara" w:eastAsia="Times New Roman" w:hAnsi="Candara" w:cs="Times New Roman"/>
                <w:bCs/>
                <w:sz w:val="24"/>
                <w:szCs w:val="24"/>
              </w:rPr>
              <w:t>Serbian (complete course)</w:t>
            </w:r>
            <w:r w:rsidRPr="00C844A2">
              <w:rPr>
                <w:rFonts w:ascii="Candara" w:eastAsia="Times New Roman" w:hAnsi="Candara" w:cs="Times New Roman"/>
                <w:sz w:val="24"/>
                <w:szCs w:val="24"/>
              </w:rPr>
              <w:t xml:space="preserve">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English (complete course) </w:t>
            </w: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 Other _____________ (complete course)</w:t>
            </w:r>
          </w:p>
          <w:p w:rsidR="00C844A2" w:rsidRPr="00C844A2" w:rsidRDefault="00C844A2" w:rsidP="00C844A2">
            <w:pPr>
              <w:jc w:val="left"/>
              <w:rPr>
                <w:rFonts w:ascii="Times New Roman" w:eastAsia="Times New Roman" w:hAnsi="Times New Roman" w:cs="Times New Roman"/>
                <w:sz w:val="24"/>
                <w:szCs w:val="24"/>
              </w:rPr>
            </w:pPr>
            <w:r w:rsidRPr="00C844A2">
              <w:rPr>
                <w:rFonts w:ascii="MS Mincho" w:eastAsia="MS Mincho" w:hAnsi="MS Mincho" w:cs="MS Mincho"/>
                <w:sz w:val="24"/>
                <w:szCs w:val="24"/>
              </w:rPr>
              <w:t>☐</w:t>
            </w:r>
            <w:r w:rsidRPr="00C844A2">
              <w:rPr>
                <w:rFonts w:ascii="Candara" w:eastAsia="Times New Roman" w:hAnsi="Candara" w:cs="Times New Roman"/>
                <w:sz w:val="24"/>
                <w:szCs w:val="24"/>
              </w:rPr>
              <w:t xml:space="preserve">Serbian with English mentoring </w:t>
            </w:r>
            <w:r w:rsidRPr="00C844A2">
              <w:rPr>
                <w:rFonts w:ascii="MS Mincho" w:eastAsia="MS Mincho" w:hAnsi="MS Mincho" w:cs="MS Mincho"/>
                <w:sz w:val="24"/>
                <w:szCs w:val="24"/>
              </w:rPr>
              <w:t>☐</w:t>
            </w:r>
            <w:r w:rsidRPr="00C844A2">
              <w:rPr>
                <w:rFonts w:ascii="Candara" w:eastAsia="Times New Roman" w:hAnsi="Candara" w:cs="Times New Roman"/>
                <w:sz w:val="24"/>
                <w:szCs w:val="24"/>
              </w:rPr>
              <w:t>Serbian with other mentoring ______________</w:t>
            </w:r>
          </w:p>
          <w:p w:rsidR="00C844A2" w:rsidRPr="00C844A2" w:rsidRDefault="00C844A2" w:rsidP="00C844A2">
            <w:pPr>
              <w:spacing w:after="119"/>
              <w:jc w:val="left"/>
              <w:rPr>
                <w:rFonts w:ascii="Times New Roman" w:eastAsia="Times New Roman" w:hAnsi="Times New Roman" w:cs="Times New Roman"/>
                <w:sz w:val="24"/>
                <w:szCs w:val="24"/>
              </w:rPr>
            </w:pPr>
          </w:p>
        </w:tc>
      </w:tr>
      <w:tr w:rsidR="00C844A2" w:rsidRPr="00C844A2" w:rsidTr="00C844A2">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ASSESSMENT METHODS AND CRITERIA</w:t>
            </w:r>
          </w:p>
        </w:tc>
      </w:tr>
      <w:tr w:rsidR="00C844A2" w:rsidRPr="00C844A2" w:rsidTr="00C844A2">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lastRenderedPageBreak/>
              <w:t>Pre exam duties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Points</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Final exam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points</w:t>
            </w:r>
          </w:p>
        </w:tc>
      </w:tr>
      <w:tr w:rsidR="00C844A2" w:rsidRPr="00C844A2" w:rsidTr="00C844A2">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Activity during lectures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Written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50</w:t>
            </w:r>
          </w:p>
        </w:tc>
      </w:tr>
      <w:tr w:rsidR="00C844A2" w:rsidRPr="00C844A2" w:rsidTr="00C844A2">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Practical teaching</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Oral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50</w:t>
            </w:r>
          </w:p>
        </w:tc>
      </w:tr>
      <w:tr w:rsidR="00C844A2" w:rsidRPr="00C844A2" w:rsidTr="00C844A2">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Teaching colloquia</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OVERALL SUM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100</w:t>
            </w:r>
          </w:p>
        </w:tc>
      </w:tr>
      <w:tr w:rsidR="00C844A2" w:rsidRPr="00C844A2" w:rsidTr="00C844A2">
        <w:trPr>
          <w:trHeight w:val="315"/>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844A2" w:rsidRPr="00C844A2" w:rsidRDefault="00C844A2" w:rsidP="00C844A2">
            <w:pPr>
              <w:spacing w:after="119"/>
              <w:jc w:val="left"/>
              <w:rPr>
                <w:rFonts w:ascii="Times New Roman" w:eastAsia="Times New Roman" w:hAnsi="Times New Roman" w:cs="Times New Roman"/>
                <w:sz w:val="24"/>
                <w:szCs w:val="24"/>
              </w:rPr>
            </w:pPr>
            <w:r w:rsidRPr="00C844A2">
              <w:rPr>
                <w:rFonts w:ascii="Candara" w:eastAsia="Times New Roman" w:hAnsi="Candara" w:cs="Times New Roman"/>
                <w:b/>
                <w:bCs/>
                <w:sz w:val="24"/>
                <w:szCs w:val="24"/>
              </w:rPr>
              <w:t>*Final examination mark is formed in accordance with the Institutional documents</w:t>
            </w:r>
          </w:p>
        </w:tc>
      </w:tr>
    </w:tbl>
    <w:p w:rsidR="00C844A2" w:rsidRPr="00C844A2" w:rsidRDefault="00C844A2" w:rsidP="00C844A2">
      <w:pPr>
        <w:ind w:left="1089"/>
        <w:jc w:val="left"/>
        <w:rPr>
          <w:rFonts w:ascii="Times New Roman" w:eastAsia="Times New Roman" w:hAnsi="Times New Roman" w:cs="Times New Roman"/>
          <w:sz w:val="24"/>
          <w:szCs w:val="24"/>
        </w:rPr>
      </w:pPr>
    </w:p>
    <w:p w:rsidR="00C844A2" w:rsidRPr="00C844A2" w:rsidRDefault="00C844A2" w:rsidP="00C844A2">
      <w:pPr>
        <w:ind w:left="1089"/>
        <w:jc w:val="left"/>
        <w:rPr>
          <w:rFonts w:ascii="Times New Roman" w:eastAsia="Times New Roman" w:hAnsi="Times New Roman" w:cs="Times New Roman"/>
          <w:sz w:val="24"/>
          <w:szCs w:val="24"/>
        </w:rPr>
      </w:pPr>
    </w:p>
    <w:p w:rsidR="00C844A2" w:rsidRPr="00C844A2" w:rsidRDefault="00C844A2" w:rsidP="00C844A2">
      <w:pPr>
        <w:ind w:left="1089"/>
        <w:jc w:val="left"/>
        <w:rPr>
          <w:rFonts w:ascii="Times New Roman" w:eastAsia="Times New Roman" w:hAnsi="Times New Roman" w:cs="Times New Roman"/>
          <w:sz w:val="24"/>
          <w:szCs w:val="24"/>
        </w:rPr>
      </w:pPr>
    </w:p>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6B61"/>
    <w:multiLevelType w:val="multilevel"/>
    <w:tmpl w:val="CF7A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E125C"/>
    <w:multiLevelType w:val="multilevel"/>
    <w:tmpl w:val="EAA8D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844A2"/>
    <w:rsid w:val="001A1A61"/>
    <w:rsid w:val="001B6116"/>
    <w:rsid w:val="006B22CD"/>
    <w:rsid w:val="00723A69"/>
    <w:rsid w:val="00957AB2"/>
    <w:rsid w:val="009F22E1"/>
    <w:rsid w:val="00AB5B78"/>
    <w:rsid w:val="00AF32DD"/>
    <w:rsid w:val="00C844A2"/>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paragraph" w:styleId="NormalWeb">
    <w:name w:val="Normal (Web)"/>
    <w:basedOn w:val="Normal"/>
    <w:uiPriority w:val="99"/>
    <w:unhideWhenUsed/>
    <w:rsid w:val="00C844A2"/>
    <w:pPr>
      <w:spacing w:after="119"/>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2204</Characters>
  <Application>Microsoft Office Word</Application>
  <DocSecurity>0</DocSecurity>
  <Lines>18</Lines>
  <Paragraphs>5</Paragraphs>
  <ScaleCrop>false</ScaleCrop>
  <Company>Uciteljski fakukltet u Vranju</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4</cp:revision>
  <dcterms:created xsi:type="dcterms:W3CDTF">2016-04-04T19:34:00Z</dcterms:created>
  <dcterms:modified xsi:type="dcterms:W3CDTF">2016-04-14T11:41:00Z</dcterms:modified>
</cp:coreProperties>
</file>