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065A92" w:rsidRDefault="00E71A0B" w:rsidP="00E71A0B">
      <w:pPr>
        <w:ind w:left="1089"/>
        <w:rPr>
          <w:rFonts w:ascii="Candara" w:hAnsi="Candara"/>
          <w:lang w:val="sr-Latn-RS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GB" w:eastAsia="en-GB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contextualSpacing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E9C288" w14:textId="77777777" w:rsidR="00CD17F1" w:rsidRDefault="00703550">
            <w:pPr>
              <w:spacing w:after="200" w:line="276" w:lineRule="auto"/>
              <w:rPr>
                <w:rFonts w:ascii="Verdana" w:hAnsi="Verdana"/>
                <w:color w:val="555555"/>
                <w:sz w:val="21"/>
                <w:szCs w:val="21"/>
              </w:rPr>
            </w:pPr>
            <w:r>
              <w:rPr>
                <w:rFonts w:ascii="Verdana" w:hAnsi="Verdana"/>
                <w:color w:val="555555"/>
                <w:sz w:val="21"/>
                <w:szCs w:val="21"/>
              </w:rPr>
              <w:t>Faculty of Sciences and Mathematics</w:t>
            </w:r>
          </w:p>
          <w:p w14:paraId="6F5858AD" w14:textId="7882B9AE" w:rsidR="00A5436F" w:rsidRPr="00B54668" w:rsidRDefault="00814B57">
            <w:pPr>
              <w:spacing w:after="200" w:line="276" w:lineRule="auto"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</w:rPr>
              <w:t>Department of Biology and Ecology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F0A64C5" w:rsidR="00864926" w:rsidRPr="00B54668" w:rsidRDefault="00814B57" w:rsidP="00F84F6E">
            <w:pPr>
              <w:contextualSpacing/>
              <w:rPr>
                <w:rFonts w:ascii="Candara" w:hAnsi="Candara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color w:val="222222"/>
              </w:rPr>
              <w:t>Biology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2F73D4A" w:rsidR="00864926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3EB79BC3" w:rsidR="00B50491" w:rsidRPr="00BD33B7" w:rsidRDefault="000E356E" w:rsidP="000E356E">
            <w:r w:rsidRPr="000E356E">
              <w:t>L</w:t>
            </w:r>
            <w:r>
              <w:t>aboratory</w:t>
            </w:r>
            <w:r w:rsidRPr="000E356E">
              <w:t xml:space="preserve"> </w:t>
            </w:r>
            <w:r>
              <w:t>animals in</w:t>
            </w:r>
            <w:r w:rsidRPr="000E356E">
              <w:t xml:space="preserve"> </w:t>
            </w:r>
            <w:r>
              <w:t>biological research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04BDC150" w:rsidR="006F647C" w:rsidRPr="00B54668" w:rsidRDefault="00EA7C73" w:rsidP="00E857F8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56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5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D6270FD" w:rsidR="00CD17F1" w:rsidRPr="00B54668" w:rsidRDefault="00EA7C73" w:rsidP="0069043C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96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16AD5731" w:rsidR="00864926" w:rsidRPr="00B54668" w:rsidRDefault="0069043C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765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7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ndara" w:hAnsi="Candara" w:cs="Arial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F293072" w:rsidR="00864926" w:rsidRPr="00B54668" w:rsidRDefault="008A3765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F84A7C8" w:rsidR="00A1335D" w:rsidRPr="00B54668" w:rsidRDefault="000E35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3E07747" w:rsidR="00E857F8" w:rsidRPr="00B54668" w:rsidRDefault="00FF152C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Ljubiša Đorđević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contextualSpacing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D6E4B3B" w:rsidR="00B50491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6DB2B6AE" w:rsidR="00603117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5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3F536A9D" w:rsidR="00911529" w:rsidRPr="005456D8" w:rsidRDefault="00C56AEB" w:rsidP="00C56AEB">
            <w:pPr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</w:rPr>
            </w:pPr>
            <w:r w:rsidRPr="00C56AEB">
              <w:rPr>
                <w:rFonts w:ascii="Arial" w:hAnsi="Arial" w:cs="Arial"/>
                <w:color w:val="222222"/>
              </w:rPr>
              <w:t>Acquiring basic knowledge in an</w:t>
            </w:r>
            <w:r>
              <w:rPr>
                <w:rFonts w:ascii="Arial" w:hAnsi="Arial" w:cs="Arial"/>
                <w:color w:val="222222"/>
              </w:rPr>
              <w:t xml:space="preserve">imal physiology. </w:t>
            </w:r>
            <w:r w:rsidRPr="00C56AEB">
              <w:rPr>
                <w:rFonts w:ascii="Arial" w:hAnsi="Arial" w:cs="Arial"/>
                <w:color w:val="222222"/>
              </w:rPr>
              <w:t>Learning about how to plan experiments with laboratory animals in ord</w:t>
            </w:r>
            <w:r>
              <w:rPr>
                <w:rFonts w:ascii="Arial" w:hAnsi="Arial" w:cs="Arial"/>
                <w:color w:val="222222"/>
              </w:rPr>
              <w:t xml:space="preserve">er to minimize animal sacrifice. </w:t>
            </w:r>
            <w:r w:rsidRPr="00C56AEB">
              <w:rPr>
                <w:rFonts w:ascii="Arial" w:hAnsi="Arial" w:cs="Arial"/>
                <w:color w:val="222222"/>
              </w:rPr>
              <w:t>Getting Acquainted with the biological characterist</w:t>
            </w:r>
            <w:r>
              <w:rPr>
                <w:rFonts w:ascii="Arial" w:hAnsi="Arial" w:cs="Arial"/>
                <w:color w:val="222222"/>
              </w:rPr>
              <w:t xml:space="preserve">ics of the experimental animal. </w:t>
            </w:r>
            <w:r w:rsidRPr="00C56AEB">
              <w:rPr>
                <w:rFonts w:ascii="Arial" w:hAnsi="Arial" w:cs="Arial"/>
                <w:color w:val="222222"/>
              </w:rPr>
              <w:t>Familiarization with ethical principles during the work with laboratory animals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68FA0B5E" w:rsidR="00B54668" w:rsidRPr="005456D8" w:rsidRDefault="00C56AEB" w:rsidP="008A3765">
            <w:pPr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</w:rPr>
            </w:pPr>
            <w:r w:rsidRPr="00C56AEB">
              <w:rPr>
                <w:rFonts w:ascii="Arial" w:hAnsi="Arial" w:cs="Arial"/>
                <w:color w:val="222222"/>
              </w:rPr>
              <w:t>Finding an adequate animal model for research. The ru</w:t>
            </w:r>
            <w:r>
              <w:rPr>
                <w:rFonts w:ascii="Arial" w:hAnsi="Arial" w:cs="Arial"/>
                <w:color w:val="222222"/>
              </w:rPr>
              <w:t xml:space="preserve">le "3R" in biological research. </w:t>
            </w:r>
            <w:r w:rsidRPr="00C56AEB">
              <w:rPr>
                <w:rFonts w:ascii="Arial" w:hAnsi="Arial" w:cs="Arial"/>
                <w:color w:val="222222"/>
              </w:rPr>
              <w:t>The ethics of working with animals. Supply of laboratory animals. Standar</w:t>
            </w:r>
            <w:r>
              <w:rPr>
                <w:rFonts w:ascii="Arial" w:hAnsi="Arial" w:cs="Arial"/>
                <w:color w:val="222222"/>
              </w:rPr>
              <w:t xml:space="preserve">ds of good laboratory practice. </w:t>
            </w:r>
            <w:r w:rsidRPr="00C56AEB">
              <w:rPr>
                <w:rFonts w:ascii="Arial" w:hAnsi="Arial" w:cs="Arial"/>
                <w:color w:val="222222"/>
              </w:rPr>
              <w:t xml:space="preserve">Taking care of animals, reproduction and breeding. Risks and precautions </w:t>
            </w:r>
            <w:r>
              <w:rPr>
                <w:rFonts w:ascii="Arial" w:hAnsi="Arial" w:cs="Arial"/>
                <w:color w:val="222222"/>
              </w:rPr>
              <w:t>in</w:t>
            </w:r>
            <w:r w:rsidRPr="00C56AEB">
              <w:rPr>
                <w:rFonts w:ascii="Arial" w:hAnsi="Arial" w:cs="Arial"/>
                <w:color w:val="222222"/>
              </w:rPr>
              <w:t xml:space="preserve"> working with laboratory animals. Treatments (biological, chemical, physical). Methods</w:t>
            </w:r>
            <w:r w:rsidR="008A3765">
              <w:rPr>
                <w:rFonts w:ascii="Arial" w:hAnsi="Arial" w:cs="Arial"/>
                <w:color w:val="222222"/>
              </w:rPr>
              <w:t xml:space="preserve"> for</w:t>
            </w:r>
            <w:r w:rsidRPr="00C56AEB">
              <w:rPr>
                <w:rFonts w:ascii="Arial" w:hAnsi="Arial" w:cs="Arial"/>
                <w:color w:val="222222"/>
              </w:rPr>
              <w:t xml:space="preserve"> administering </w:t>
            </w:r>
            <w:r w:rsidR="008A3765">
              <w:rPr>
                <w:rFonts w:ascii="Arial" w:hAnsi="Arial" w:cs="Arial"/>
                <w:color w:val="222222"/>
              </w:rPr>
              <w:t xml:space="preserve">of </w:t>
            </w:r>
            <w:r w:rsidRPr="00C56AEB">
              <w:rPr>
                <w:rFonts w:ascii="Arial" w:hAnsi="Arial" w:cs="Arial"/>
                <w:color w:val="222222"/>
              </w:rPr>
              <w:t xml:space="preserve">chemical and biological agents. Surgical methods. Biopsies. Parabiosis. Dissections. Preparations. Controls. Heterogeneous and homogeneous populations. </w:t>
            </w:r>
            <w:r>
              <w:rPr>
                <w:rFonts w:ascii="Arial" w:hAnsi="Arial" w:cs="Arial"/>
                <w:color w:val="222222"/>
              </w:rPr>
              <w:lastRenderedPageBreak/>
              <w:t>Methods of randomization</w:t>
            </w:r>
            <w:r w:rsidRPr="00C56AEB">
              <w:rPr>
                <w:rFonts w:ascii="Arial" w:hAnsi="Arial" w:cs="Arial"/>
                <w:color w:val="222222"/>
              </w:rPr>
              <w:t>. Transgenic and knockout animals. Animal clones in biological research.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DAC0E4E" w:rsidR="001D3BF1" w:rsidRPr="004E562D" w:rsidRDefault="00EA7C73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2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rPr>
                <w:rFonts w:ascii="Candara" w:hAnsi="Candara"/>
              </w:rPr>
            </w:pPr>
          </w:p>
          <w:p w14:paraId="35374160" w14:textId="77777777" w:rsidR="00E1222F" w:rsidRPr="004E562D" w:rsidRDefault="00EA7C73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0AABEDF" w:rsidR="001F14FA" w:rsidRDefault="00C56AEB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3B7D4071" w:rsidR="001F14FA" w:rsidRDefault="00615796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</w:tr>
      <w:tr w:rsidR="00C56AEB" w:rsidRPr="00B54668" w14:paraId="73310631" w14:textId="7777777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5D18F122" w14:textId="6DBCC9FB" w:rsidR="00C56AEB" w:rsidRDefault="00C56AEB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l</w:t>
            </w:r>
            <w:r w:rsidRPr="00882ADC">
              <w:rPr>
                <w:rFonts w:ascii="Candara" w:hAnsi="Candara"/>
                <w:b/>
              </w:rPr>
              <w:t>earning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0E79945" w14:textId="31691D25" w:rsidR="00C56AEB" w:rsidRDefault="00C56AEB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6FEF9F77" w14:textId="77777777" w:rsidR="00C56AEB" w:rsidRDefault="00C56AEB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6C5894C" w14:textId="77777777" w:rsidR="00C56AEB" w:rsidRDefault="00C56AEB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592DBC7E" w:rsidR="001F14FA" w:rsidRDefault="00C56AEB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Test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0509FE0D" w:rsidR="001F14FA" w:rsidRDefault="00615796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9FE62D5" w:rsidR="001F14FA" w:rsidRDefault="00615796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F462252" w:rsidR="001F14FA" w:rsidRDefault="00C56AEB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F6E63" w14:textId="77777777" w:rsidR="00EA7C73" w:rsidRDefault="00EA7C73" w:rsidP="00864926">
      <w:r>
        <w:separator/>
      </w:r>
    </w:p>
  </w:endnote>
  <w:endnote w:type="continuationSeparator" w:id="0">
    <w:p w14:paraId="36A60B44" w14:textId="77777777" w:rsidR="00EA7C73" w:rsidRDefault="00EA7C73" w:rsidP="0086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C90CD" w14:textId="77777777" w:rsidR="00EA7C73" w:rsidRDefault="00EA7C73" w:rsidP="00864926">
      <w:r>
        <w:separator/>
      </w:r>
    </w:p>
  </w:footnote>
  <w:footnote w:type="continuationSeparator" w:id="0">
    <w:p w14:paraId="5C610CF2" w14:textId="77777777" w:rsidR="00EA7C73" w:rsidRDefault="00EA7C73" w:rsidP="0086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612"/>
    <w:rsid w:val="00033AAA"/>
    <w:rsid w:val="000563C8"/>
    <w:rsid w:val="00064FE3"/>
    <w:rsid w:val="00065A92"/>
    <w:rsid w:val="000E356E"/>
    <w:rsid w:val="000F6001"/>
    <w:rsid w:val="0011018E"/>
    <w:rsid w:val="0011046C"/>
    <w:rsid w:val="00182BF9"/>
    <w:rsid w:val="001958A1"/>
    <w:rsid w:val="001D3BF1"/>
    <w:rsid w:val="001D64D3"/>
    <w:rsid w:val="001E0E1E"/>
    <w:rsid w:val="001F14FA"/>
    <w:rsid w:val="001F60E3"/>
    <w:rsid w:val="00215D5F"/>
    <w:rsid w:val="002319B6"/>
    <w:rsid w:val="0024397F"/>
    <w:rsid w:val="002D6524"/>
    <w:rsid w:val="00315601"/>
    <w:rsid w:val="00323176"/>
    <w:rsid w:val="003B07E6"/>
    <w:rsid w:val="003B32A9"/>
    <w:rsid w:val="003C177A"/>
    <w:rsid w:val="00406F80"/>
    <w:rsid w:val="00414478"/>
    <w:rsid w:val="00431EFA"/>
    <w:rsid w:val="004443CF"/>
    <w:rsid w:val="00476BD2"/>
    <w:rsid w:val="00493925"/>
    <w:rsid w:val="004D1C7E"/>
    <w:rsid w:val="004E562D"/>
    <w:rsid w:val="00516948"/>
    <w:rsid w:val="005451B5"/>
    <w:rsid w:val="005456D8"/>
    <w:rsid w:val="005A5D38"/>
    <w:rsid w:val="005B0885"/>
    <w:rsid w:val="005B3ACF"/>
    <w:rsid w:val="005B64BF"/>
    <w:rsid w:val="005B7E23"/>
    <w:rsid w:val="005D46D7"/>
    <w:rsid w:val="00603117"/>
    <w:rsid w:val="00615796"/>
    <w:rsid w:val="0063488D"/>
    <w:rsid w:val="00681B2C"/>
    <w:rsid w:val="0069043C"/>
    <w:rsid w:val="006E40AE"/>
    <w:rsid w:val="006F647C"/>
    <w:rsid w:val="00703550"/>
    <w:rsid w:val="00721133"/>
    <w:rsid w:val="007351CA"/>
    <w:rsid w:val="00783C57"/>
    <w:rsid w:val="00792CB4"/>
    <w:rsid w:val="00814B57"/>
    <w:rsid w:val="00833961"/>
    <w:rsid w:val="00864926"/>
    <w:rsid w:val="00875251"/>
    <w:rsid w:val="0088325D"/>
    <w:rsid w:val="008A30CE"/>
    <w:rsid w:val="008A3765"/>
    <w:rsid w:val="008B1D6B"/>
    <w:rsid w:val="008C31B7"/>
    <w:rsid w:val="00911529"/>
    <w:rsid w:val="00932B21"/>
    <w:rsid w:val="0093580E"/>
    <w:rsid w:val="00972302"/>
    <w:rsid w:val="00990374"/>
    <w:rsid w:val="009906EA"/>
    <w:rsid w:val="00992914"/>
    <w:rsid w:val="009D3F5E"/>
    <w:rsid w:val="009F3F9F"/>
    <w:rsid w:val="00A029D1"/>
    <w:rsid w:val="00A10286"/>
    <w:rsid w:val="00A1335D"/>
    <w:rsid w:val="00A5436F"/>
    <w:rsid w:val="00A55FB2"/>
    <w:rsid w:val="00AA1E6D"/>
    <w:rsid w:val="00AF47A6"/>
    <w:rsid w:val="00B2134E"/>
    <w:rsid w:val="00B50491"/>
    <w:rsid w:val="00B54668"/>
    <w:rsid w:val="00B62AD3"/>
    <w:rsid w:val="00B77F13"/>
    <w:rsid w:val="00B9521A"/>
    <w:rsid w:val="00BD33B7"/>
    <w:rsid w:val="00BD3504"/>
    <w:rsid w:val="00C4521D"/>
    <w:rsid w:val="00C56AEB"/>
    <w:rsid w:val="00C63234"/>
    <w:rsid w:val="00C74FC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65100"/>
    <w:rsid w:val="00E71A0B"/>
    <w:rsid w:val="00E8188A"/>
    <w:rsid w:val="00E857F8"/>
    <w:rsid w:val="00E867BD"/>
    <w:rsid w:val="00EA7C73"/>
    <w:rsid w:val="00EA7E0C"/>
    <w:rsid w:val="00EB3975"/>
    <w:rsid w:val="00EC53EE"/>
    <w:rsid w:val="00F06AFA"/>
    <w:rsid w:val="00F237EB"/>
    <w:rsid w:val="00F56373"/>
    <w:rsid w:val="00F742D3"/>
    <w:rsid w:val="00F80621"/>
    <w:rsid w:val="00F84F6E"/>
    <w:rsid w:val="00FA0794"/>
    <w:rsid w:val="00FA384A"/>
    <w:rsid w:val="00FA53C4"/>
    <w:rsid w:val="00FE66C2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0BDB0E69-5F44-442F-8D38-AEE0852F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EEDFD-D66E-4682-ADA4-116CE879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 Nikolic</cp:lastModifiedBy>
  <cp:revision>2</cp:revision>
  <cp:lastPrinted>2015-12-23T11:47:00Z</cp:lastPrinted>
  <dcterms:created xsi:type="dcterms:W3CDTF">2016-04-20T13:07:00Z</dcterms:created>
  <dcterms:modified xsi:type="dcterms:W3CDTF">2016-04-20T13:07:00Z</dcterms:modified>
</cp:coreProperties>
</file>