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154234" w:rsidRDefault="00E71A0B" w:rsidP="00E71A0B">
      <w:pPr>
        <w:spacing w:after="0"/>
        <w:ind w:left="1089"/>
        <w:rPr>
          <w:rFonts w:ascii="Candara" w:hAnsi="Candara"/>
          <w:lang w:val="sr-Cyrl-R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61533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rFonts w:cs="Arial"/>
                <w:sz w:val="20"/>
                <w:szCs w:val="20"/>
              </w:rPr>
            </w:pPr>
            <w:r w:rsidRPr="00361533">
              <w:rPr>
                <w:rFonts w:cs="Arial"/>
              </w:rPr>
              <w:t xml:space="preserve">Faculty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61533" w:rsidRDefault="00361533">
            <w:pPr>
              <w:suppressAutoHyphens w:val="0"/>
              <w:spacing w:after="200" w:line="276" w:lineRule="auto"/>
              <w:jc w:val="left"/>
              <w:rPr>
                <w:rFonts w:cs="Arial"/>
              </w:rPr>
            </w:pPr>
            <w:r w:rsidRPr="00361533">
              <w:rPr>
                <w:rFonts w:cs="Arial"/>
              </w:rPr>
              <w:t>Faculty of Science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361533" w:rsidRDefault="009906EA" w:rsidP="00864926">
            <w:pPr>
              <w:spacing w:line="240" w:lineRule="auto"/>
              <w:contextualSpacing/>
              <w:rPr>
                <w:rFonts w:cs="Arial"/>
              </w:rPr>
            </w:pPr>
            <w:r w:rsidRPr="00361533">
              <w:rPr>
                <w:rFonts w:cs="Arial"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361533" w:rsidRDefault="00154234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Applied </w:t>
            </w:r>
            <w:r w:rsidR="00361533" w:rsidRPr="00361533">
              <w:rPr>
                <w:rFonts w:cs="Arial"/>
              </w:rPr>
              <w:t>Chemistry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361533" w:rsidRDefault="00154234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Applied </w:t>
            </w:r>
            <w:r w:rsidRPr="00361533">
              <w:rPr>
                <w:rFonts w:cs="Arial"/>
              </w:rPr>
              <w:t>Chemistry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361533" w:rsidRDefault="00154234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361533" w:rsidRPr="00361533">
              <w:rPr>
                <w:rFonts w:cs="Arial"/>
              </w:rPr>
              <w:t>inetic methods of analysis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361533" w:rsidRDefault="00712886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503286888"/>
              </w:sdtPr>
              <w:sdtEndPr/>
              <w:sdtContent>
                <w:r w:rsidR="001D3BF1" w:rsidRPr="00361533">
                  <w:rPr>
                    <w:rFonts w:eastAsia="MS Gothic" w:hAnsi="MS Gothic" w:cs="Arial"/>
                  </w:rPr>
                  <w:t>☐</w:t>
                </w:r>
              </w:sdtContent>
            </w:sdt>
            <w:r w:rsidR="00E5013A" w:rsidRPr="00361533">
              <w:rPr>
                <w:rFonts w:cs="Arial"/>
              </w:rPr>
              <w:t xml:space="preserve">Bachelor               </w:t>
            </w:r>
            <w:sdt>
              <w:sdtPr>
                <w:rPr>
                  <w:rFonts w:cs="Arial"/>
                </w:rPr>
                <w:id w:val="-2074409764"/>
              </w:sdtPr>
              <w:sdtEndPr/>
              <w:sdtContent>
                <w:r w:rsidR="00154234">
                  <w:rPr>
                    <w:rFonts w:eastAsia="MS Gothic" w:hAnsi="MS Gothic" w:cs="Arial"/>
                  </w:rPr>
                  <w:t xml:space="preserve">x </w:t>
                </w:r>
              </w:sdtContent>
            </w:sdt>
            <w:r w:rsidR="00E5013A" w:rsidRPr="00361533">
              <w:rPr>
                <w:rFonts w:cs="Arial"/>
              </w:rPr>
              <w:t xml:space="preserve"> Master’s                   </w:t>
            </w:r>
            <w:sdt>
              <w:sdtPr>
                <w:rPr>
                  <w:rFonts w:cs="Arial"/>
                </w:rPr>
                <w:id w:val="-848254186"/>
              </w:sdtPr>
              <w:sdtEndPr/>
              <w:sdtContent>
                <w:r w:rsidR="00E5013A" w:rsidRPr="00361533">
                  <w:rPr>
                    <w:rFonts w:eastAsia="MS Gothic" w:hAnsi="MS Gothic" w:cs="Arial"/>
                  </w:rPr>
                  <w:t>☐</w:t>
                </w:r>
              </w:sdtContent>
            </w:sdt>
            <w:r w:rsidR="00E5013A" w:rsidRPr="00361533">
              <w:rPr>
                <w:rFonts w:cs="Arial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361533" w:rsidRDefault="00712886" w:rsidP="0069043C">
            <w:pPr>
              <w:spacing w:line="240" w:lineRule="auto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485128928"/>
              </w:sdtPr>
              <w:sdtEndPr/>
              <w:sdtContent>
                <w:r w:rsidR="0069043C" w:rsidRPr="00361533">
                  <w:rPr>
                    <w:rFonts w:eastAsia="MS Gothic" w:hAnsi="MS Gothic" w:cs="Arial"/>
                  </w:rPr>
                  <w:t>☐</w:t>
                </w:r>
              </w:sdtContent>
            </w:sdt>
            <w:r w:rsidR="0069043C" w:rsidRPr="00361533">
              <w:rPr>
                <w:rFonts w:cs="Arial"/>
              </w:rPr>
              <w:t xml:space="preserve"> Obligatory</w:t>
            </w:r>
            <w:r w:rsidR="00406F80" w:rsidRPr="00361533">
              <w:rPr>
                <w:rFonts w:cs="Arial"/>
              </w:rPr>
              <w:t xml:space="preserve">                 </w:t>
            </w:r>
            <w:r w:rsidR="00FE0681">
              <w:rPr>
                <w:rFonts w:eastAsia="MS Gothic" w:hAnsi="MS Gothic" w:cs="Arial"/>
                <w:lang w:val="en-US"/>
              </w:rPr>
              <w:t>x</w:t>
            </w:r>
            <w:bookmarkStart w:id="0" w:name="_GoBack"/>
            <w:bookmarkEnd w:id="0"/>
            <w:r w:rsidR="00406F80" w:rsidRPr="00361533">
              <w:rPr>
                <w:rFonts w:cs="Arial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361533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cs="Arial"/>
                <w:lang w:val="en-US"/>
              </w:rPr>
            </w:pPr>
            <w:r w:rsidRPr="00361533">
              <w:rPr>
                <w:rFonts w:cs="Arial"/>
                <w:lang w:val="en-US"/>
              </w:rPr>
              <w:t xml:space="preserve">  </w:t>
            </w:r>
            <w:sdt>
              <w:sdtPr>
                <w:rPr>
                  <w:rFonts w:cs="Arial"/>
                  <w:lang w:val="en-US"/>
                </w:rPr>
                <w:id w:val="-2002492403"/>
              </w:sdtPr>
              <w:sdtEndPr/>
              <w:sdtContent>
                <w:r w:rsidRPr="00361533">
                  <w:rPr>
                    <w:rFonts w:eastAsia="MS Gothic" w:hAnsi="MS Gothic" w:cs="Arial"/>
                    <w:lang w:val="en-US"/>
                  </w:rPr>
                  <w:t>☐</w:t>
                </w:r>
              </w:sdtContent>
            </w:sdt>
            <w:r w:rsidRPr="00361533">
              <w:rPr>
                <w:rFonts w:cs="Arial"/>
                <w:lang w:val="en-US"/>
              </w:rPr>
              <w:t xml:space="preserve"> Autumn                     </w:t>
            </w:r>
            <w:sdt>
              <w:sdtPr>
                <w:rPr>
                  <w:rFonts w:cs="Arial"/>
                  <w:lang w:val="en-US"/>
                </w:rPr>
                <w:id w:val="706989797"/>
              </w:sdtPr>
              <w:sdtEndPr/>
              <w:sdtContent>
                <w:r w:rsidR="00154234">
                  <w:rPr>
                    <w:rFonts w:eastAsia="MS Gothic" w:hAnsi="MS Gothic" w:cs="Arial"/>
                    <w:lang w:val="en-US"/>
                  </w:rPr>
                  <w:t xml:space="preserve">x </w:t>
                </w:r>
              </w:sdtContent>
            </w:sdt>
            <w:r w:rsidRPr="00361533">
              <w:rPr>
                <w:rFonts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154234" w:rsidRDefault="00154234" w:rsidP="00E857F8">
            <w:pPr>
              <w:spacing w:line="240" w:lineRule="auto"/>
              <w:contextualSpacing/>
              <w:jc w:val="left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2</w:t>
            </w:r>
            <w:r>
              <w:rPr>
                <w:rFonts w:cs="Arial"/>
                <w:vertAlign w:val="superscript"/>
              </w:rPr>
              <w:t>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361533" w:rsidRDefault="00361533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361533">
              <w:rPr>
                <w:rFonts w:cs="Arial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361533" w:rsidRDefault="00361533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361533">
              <w:rPr>
                <w:rFonts w:cs="Arial"/>
              </w:rPr>
              <w:t>Snezana Mitic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154234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361533" w:rsidRPr="00361533" w:rsidRDefault="00361533" w:rsidP="00361533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The purpose of this </w:t>
            </w:r>
            <w:r w:rsidRPr="00361533">
              <w:rPr>
                <w:rFonts w:ascii="Candara" w:hAnsi="Candara"/>
                <w:i/>
              </w:rPr>
              <w:t xml:space="preserve"> course</w:t>
            </w:r>
            <w:r>
              <w:rPr>
                <w:rFonts w:ascii="Candara" w:hAnsi="Candara"/>
                <w:i/>
              </w:rPr>
              <w:t xml:space="preserve"> is to introduce</w:t>
            </w:r>
            <w:r w:rsidRPr="00361533">
              <w:rPr>
                <w:rFonts w:ascii="Candara" w:hAnsi="Candara"/>
                <w:i/>
              </w:rPr>
              <w:t xml:space="preserve"> the basic principles of kinetic methods of analysis and </w:t>
            </w:r>
            <w:r>
              <w:rPr>
                <w:rFonts w:ascii="Candara" w:hAnsi="Candara"/>
                <w:i/>
              </w:rPr>
              <w:t>recognize</w:t>
            </w:r>
          </w:p>
          <w:p w:rsidR="00911529" w:rsidRPr="00B54668" w:rsidRDefault="00361533" w:rsidP="00361533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361533">
              <w:rPr>
                <w:rFonts w:ascii="Candara" w:hAnsi="Candara"/>
                <w:i/>
              </w:rPr>
              <w:t xml:space="preserve">appropriate methods in relation to </w:t>
            </w:r>
            <w:r>
              <w:rPr>
                <w:rFonts w:ascii="Candara" w:hAnsi="Candara"/>
                <w:i/>
              </w:rPr>
              <w:t>experimental</w:t>
            </w:r>
            <w:r w:rsidRPr="00361533">
              <w:rPr>
                <w:rFonts w:ascii="Candara" w:hAnsi="Candara"/>
                <w:i/>
              </w:rPr>
              <w:t xml:space="preserve"> requirements.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61533" w:rsidRPr="00361533" w:rsidRDefault="00361533" w:rsidP="0036153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61533">
              <w:rPr>
                <w:rFonts w:ascii="Candara" w:hAnsi="Candara"/>
                <w:b/>
              </w:rPr>
              <w:t>Introduction to kinetic methods of analysis. Catalytic r</w:t>
            </w:r>
            <w:r>
              <w:rPr>
                <w:rFonts w:ascii="Candara" w:hAnsi="Candara"/>
                <w:b/>
              </w:rPr>
              <w:t xml:space="preserve">eactions. Kinetic equations and </w:t>
            </w:r>
            <w:r w:rsidRPr="00361533">
              <w:rPr>
                <w:rFonts w:ascii="Candara" w:hAnsi="Candara"/>
                <w:b/>
              </w:rPr>
              <w:t>the mechanism</w:t>
            </w:r>
            <w:r w:rsidR="001D58AD">
              <w:rPr>
                <w:rFonts w:ascii="Candara" w:hAnsi="Candara"/>
                <w:b/>
              </w:rPr>
              <w:t xml:space="preserve"> of reaction</w:t>
            </w:r>
            <w:r w:rsidRPr="00361533">
              <w:rPr>
                <w:rFonts w:ascii="Candara" w:hAnsi="Candara"/>
                <w:b/>
              </w:rPr>
              <w:t>. Homogeneous catalytic reactions. App</w:t>
            </w:r>
            <w:r>
              <w:rPr>
                <w:rFonts w:ascii="Candara" w:hAnsi="Candara"/>
                <w:b/>
              </w:rPr>
              <w:t xml:space="preserve">lication of catalytic reactions in </w:t>
            </w:r>
            <w:r w:rsidRPr="00361533">
              <w:rPr>
                <w:rFonts w:ascii="Candara" w:hAnsi="Candara"/>
                <w:b/>
              </w:rPr>
              <w:t>analytical purposes. Development and validation of kinetic methods of analysis</w:t>
            </w:r>
            <w:r>
              <w:rPr>
                <w:rFonts w:ascii="Candara" w:hAnsi="Candara"/>
                <w:b/>
              </w:rPr>
              <w:t xml:space="preserve">. </w:t>
            </w:r>
            <w:r w:rsidRPr="00361533">
              <w:rPr>
                <w:rFonts w:ascii="Candara" w:hAnsi="Candara"/>
                <w:b/>
              </w:rPr>
              <w:t xml:space="preserve">Activators and Promoters. </w:t>
            </w:r>
            <w:r>
              <w:rPr>
                <w:rFonts w:ascii="Candara" w:hAnsi="Candara"/>
                <w:b/>
              </w:rPr>
              <w:t>M</w:t>
            </w:r>
            <w:r w:rsidRPr="00361533">
              <w:rPr>
                <w:rFonts w:ascii="Candara" w:hAnsi="Candara"/>
                <w:b/>
              </w:rPr>
              <w:t>echanism</w:t>
            </w:r>
            <w:r>
              <w:rPr>
                <w:rFonts w:ascii="Candara" w:hAnsi="Candara"/>
                <w:b/>
              </w:rPr>
              <w:t xml:space="preserve"> of reactions. </w:t>
            </w:r>
            <w:r w:rsidRPr="00361533">
              <w:rPr>
                <w:rFonts w:ascii="Candara" w:hAnsi="Candara"/>
                <w:b/>
              </w:rPr>
              <w:t xml:space="preserve">Catalytic </w:t>
            </w:r>
            <w:r>
              <w:rPr>
                <w:rFonts w:ascii="Candara" w:hAnsi="Candara"/>
                <w:b/>
              </w:rPr>
              <w:t>titration. Titration curves.</w:t>
            </w:r>
          </w:p>
          <w:p w:rsidR="00B54668" w:rsidRPr="00B54668" w:rsidRDefault="00361533" w:rsidP="0036153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Non-catalytic reaction. M</w:t>
            </w:r>
            <w:r w:rsidRPr="00361533">
              <w:rPr>
                <w:rFonts w:ascii="Candara" w:hAnsi="Candara"/>
                <w:b/>
              </w:rPr>
              <w:t>ethods for determin</w:t>
            </w:r>
            <w:r w:rsidR="001D58AD">
              <w:rPr>
                <w:rFonts w:ascii="Candara" w:hAnsi="Candara"/>
                <w:b/>
              </w:rPr>
              <w:t xml:space="preserve">ation. </w:t>
            </w:r>
            <w:r w:rsidR="001D58AD" w:rsidRPr="001D58AD">
              <w:rPr>
                <w:rFonts w:ascii="Candara" w:hAnsi="Candara"/>
                <w:b/>
              </w:rPr>
              <w:t>Enzyme kinetics. Characteri</w:t>
            </w:r>
            <w:r w:rsidR="001D58AD">
              <w:rPr>
                <w:rFonts w:ascii="Candara" w:hAnsi="Candara"/>
                <w:b/>
              </w:rPr>
              <w:t>zation of the enzyme activity. M</w:t>
            </w:r>
            <w:r w:rsidR="001D58AD" w:rsidRPr="001D58AD">
              <w:rPr>
                <w:rFonts w:ascii="Candara" w:hAnsi="Candara"/>
                <w:b/>
              </w:rPr>
              <w:t xml:space="preserve">odels </w:t>
            </w:r>
            <w:r w:rsidR="001D58AD">
              <w:rPr>
                <w:rFonts w:ascii="Candara" w:hAnsi="Candara"/>
                <w:b/>
              </w:rPr>
              <w:t xml:space="preserve">of </w:t>
            </w:r>
            <w:r w:rsidR="001D58AD" w:rsidRPr="001D58AD">
              <w:rPr>
                <w:rFonts w:ascii="Candara" w:hAnsi="Candara"/>
                <w:b/>
              </w:rPr>
              <w:t>catalysis</w:t>
            </w:r>
            <w:r w:rsidR="001D58AD">
              <w:rPr>
                <w:rFonts w:ascii="Candara" w:hAnsi="Candara"/>
                <w:b/>
              </w:rPr>
              <w:t xml:space="preserve">. </w:t>
            </w:r>
            <w:r w:rsidR="001D58AD" w:rsidRPr="001D58AD">
              <w:rPr>
                <w:rFonts w:ascii="Candara" w:hAnsi="Candara"/>
                <w:b/>
              </w:rPr>
              <w:t>Analysis of real samples.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71288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361533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71288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5423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5423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5423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5423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5423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886" w:rsidRDefault="00712886" w:rsidP="00864926">
      <w:pPr>
        <w:spacing w:after="0" w:line="240" w:lineRule="auto"/>
      </w:pPr>
      <w:r>
        <w:separator/>
      </w:r>
    </w:p>
  </w:endnote>
  <w:endnote w:type="continuationSeparator" w:id="0">
    <w:p w:rsidR="00712886" w:rsidRDefault="0071288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886" w:rsidRDefault="00712886" w:rsidP="00864926">
      <w:pPr>
        <w:spacing w:after="0" w:line="240" w:lineRule="auto"/>
      </w:pPr>
      <w:r>
        <w:separator/>
      </w:r>
    </w:p>
  </w:footnote>
  <w:footnote w:type="continuationSeparator" w:id="0">
    <w:p w:rsidR="00712886" w:rsidRDefault="0071288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F6001"/>
    <w:rsid w:val="0011018E"/>
    <w:rsid w:val="00154234"/>
    <w:rsid w:val="001D3BF1"/>
    <w:rsid w:val="001D58AD"/>
    <w:rsid w:val="001D64D3"/>
    <w:rsid w:val="001F14FA"/>
    <w:rsid w:val="001F60E3"/>
    <w:rsid w:val="002319B6"/>
    <w:rsid w:val="00301EC7"/>
    <w:rsid w:val="00315601"/>
    <w:rsid w:val="00323176"/>
    <w:rsid w:val="00361533"/>
    <w:rsid w:val="003B32A9"/>
    <w:rsid w:val="003C177A"/>
    <w:rsid w:val="00406F80"/>
    <w:rsid w:val="00431EFA"/>
    <w:rsid w:val="00493925"/>
    <w:rsid w:val="004B1B6C"/>
    <w:rsid w:val="004D1C7E"/>
    <w:rsid w:val="004E562D"/>
    <w:rsid w:val="005A5D38"/>
    <w:rsid w:val="005B0885"/>
    <w:rsid w:val="005B64BF"/>
    <w:rsid w:val="005D46D7"/>
    <w:rsid w:val="00603117"/>
    <w:rsid w:val="00626583"/>
    <w:rsid w:val="0069043C"/>
    <w:rsid w:val="006E40AE"/>
    <w:rsid w:val="006F647C"/>
    <w:rsid w:val="00712886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7236E"/>
    <w:rsid w:val="00AF47A6"/>
    <w:rsid w:val="00B50491"/>
    <w:rsid w:val="00B54668"/>
    <w:rsid w:val="00B9521A"/>
    <w:rsid w:val="00BA7B18"/>
    <w:rsid w:val="00BD3504"/>
    <w:rsid w:val="00C63234"/>
    <w:rsid w:val="00CA6D81"/>
    <w:rsid w:val="00CC23C3"/>
    <w:rsid w:val="00CD17F1"/>
    <w:rsid w:val="00D92F39"/>
    <w:rsid w:val="00D965AD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80621"/>
    <w:rsid w:val="00FE0681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A7924-6168-4B75-9C7E-B49511C0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CE46C-9B43-4A6F-AB0E-F73B69EE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 Mitic</cp:lastModifiedBy>
  <cp:revision>8</cp:revision>
  <cp:lastPrinted>2015-12-23T11:47:00Z</cp:lastPrinted>
  <dcterms:created xsi:type="dcterms:W3CDTF">2016-03-28T09:01:00Z</dcterms:created>
  <dcterms:modified xsi:type="dcterms:W3CDTF">2016-03-31T07:38:00Z</dcterms:modified>
</cp:coreProperties>
</file>