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87D1E" w:rsidRDefault="00F87D1E" w:rsidP="00F87D1E">
            <w:pPr>
              <w:suppressAutoHyphens w:val="0"/>
              <w:spacing w:before="240" w:after="20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F87D1E">
              <w:rPr>
                <w:rFonts w:ascii="Candara" w:hAnsi="Candara"/>
                <w:b/>
                <w:sz w:val="28"/>
                <w:szCs w:val="28"/>
              </w:rPr>
              <w:t>Faculty of Arts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87D1E" w:rsidP="003E5A0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Theme="majorHAnsi" w:hAnsiTheme="majorHAnsi"/>
                <w:color w:val="444444"/>
                <w:shd w:val="clear" w:color="auto" w:fill="FFFFFF"/>
              </w:rPr>
              <w:t>Music Theory and Pedagogy, Piano, String Instruments</w:t>
            </w:r>
            <w:r w:rsidRPr="0051028F">
              <w:rPr>
                <w:rFonts w:asciiTheme="majorHAnsi" w:hAnsiTheme="majorHAnsi"/>
                <w:color w:val="444444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/>
                <w:color w:val="444444"/>
                <w:shd w:val="clear" w:color="auto" w:fill="FFFFFF"/>
              </w:rPr>
              <w:t xml:space="preserve">Wind Instruments </w:t>
            </w:r>
            <w:r w:rsidRPr="0051028F">
              <w:rPr>
                <w:rFonts w:asciiTheme="majorHAnsi" w:hAnsiTheme="majorHAnsi"/>
                <w:color w:val="444444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/>
                <w:color w:val="444444"/>
                <w:shd w:val="clear" w:color="auto" w:fill="FFFFFF"/>
              </w:rPr>
              <w:t>Solo Singing</w:t>
            </w:r>
            <w:r w:rsidRPr="0051028F">
              <w:rPr>
                <w:rFonts w:asciiTheme="majorHAnsi" w:hAnsiTheme="majorHAnsi"/>
                <w:color w:val="444444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/>
                <w:color w:val="444444"/>
                <w:shd w:val="clear" w:color="auto" w:fill="FFFFFF"/>
              </w:rPr>
              <w:t>Guitar</w:t>
            </w:r>
            <w:r w:rsidRPr="0051028F">
              <w:rPr>
                <w:rFonts w:asciiTheme="majorHAnsi" w:hAnsiTheme="majorHAnsi"/>
                <w:color w:val="444444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/>
                <w:color w:val="444444"/>
                <w:shd w:val="clear" w:color="auto" w:fill="FFFFFF"/>
              </w:rPr>
              <w:t>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F7B6D" w:rsidRDefault="00F87D1E" w:rsidP="00F87D1E">
            <w:pPr>
              <w:spacing w:line="240" w:lineRule="auto"/>
              <w:contextualSpacing/>
              <w:jc w:val="center"/>
              <w:rPr>
                <w:rFonts w:ascii="Candara" w:hAnsi="Candara"/>
                <w:b/>
              </w:rPr>
            </w:pPr>
            <w:r w:rsidRPr="00EF7B6D">
              <w:rPr>
                <w:rFonts w:ascii="Candara" w:hAnsi="Candara"/>
                <w:b/>
              </w:rPr>
              <w:t xml:space="preserve">English Language </w:t>
            </w:r>
            <w:r w:rsidR="003E5A00" w:rsidRPr="00EF7B6D">
              <w:rPr>
                <w:rFonts w:ascii="Candara" w:hAnsi="Candara"/>
                <w:b/>
              </w:rPr>
              <w:t>3 (ESP)</w:t>
            </w:r>
            <w:r w:rsidR="00EF7B6D" w:rsidRPr="00EF7B6D">
              <w:rPr>
                <w:rFonts w:ascii="Candara" w:hAnsi="Candara"/>
                <w:b/>
              </w:rPr>
              <w:t xml:space="preserve"> - Music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  <w:r w:rsidR="00F87D1E">
              <w:rPr>
                <w:rFonts w:ascii="Candara" w:hAnsi="Candara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82E0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Content>
                <w:r w:rsidR="00F87D1E">
                  <w:rPr>
                    <w:rFonts w:ascii="Candara" w:hAnsi="Candara"/>
                    <w:b/>
                  </w:rPr>
                  <w:t xml:space="preserve">  </w:t>
                </w:r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82E0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lastRenderedPageBreak/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E5A00" w:rsidP="00F87D1E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  <w:r w:rsidR="00F87D1E"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87D1E" w:rsidRDefault="00F87D1E" w:rsidP="00F87D1E">
            <w:pPr>
              <w:spacing w:line="240" w:lineRule="auto"/>
              <w:contextualSpacing/>
              <w:jc w:val="center"/>
              <w:rPr>
                <w:rFonts w:asciiTheme="majorHAnsi" w:hAnsiTheme="majorHAnsi"/>
              </w:rPr>
            </w:pPr>
            <w:r w:rsidRPr="00F87D1E">
              <w:rPr>
                <w:rFonts w:asciiTheme="majorHAnsi" w:hAnsiTheme="majorHAnsi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F87D1E" w:rsidP="00F87D1E">
            <w:pPr>
              <w:spacing w:line="240" w:lineRule="auto"/>
              <w:contextualSpacing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Snežana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Drambarean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F7B6D">
            <w:pPr>
              <w:spacing w:before="12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  <w:r w:rsidR="00F87D1E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F01F3" w:rsidRDefault="00911529" w:rsidP="008F01F3">
            <w:pPr>
              <w:rPr>
                <w:sz w:val="18"/>
                <w:szCs w:val="18"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  <w:r w:rsidR="008F01F3">
              <w:rPr>
                <w:rFonts w:ascii="Candara" w:hAnsi="Candara"/>
                <w:b/>
              </w:rPr>
              <w:t xml:space="preserve"> 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E5A00" w:rsidRDefault="003E5A00" w:rsidP="00E602FB">
            <w:pPr>
              <w:spacing w:before="120"/>
              <w:rPr>
                <w:rFonts w:asciiTheme="minorHAnsi" w:hAnsiTheme="minorHAnsi" w:cs="Arial"/>
              </w:rPr>
            </w:pPr>
            <w:r w:rsidRPr="003E5A00">
              <w:rPr>
                <w:rFonts w:asciiTheme="minorHAnsi" w:hAnsiTheme="minorHAnsi"/>
              </w:rPr>
              <w:t>The course focuses on the topics from the professional discourse with the emphasis on gradual, yet effective expanding of professional vocabulary with a balanced accent on all four basic language skills: reading, listening, speaking and writing. The goal is to develop the students' ab</w:t>
            </w:r>
            <w:r w:rsidR="007629B6">
              <w:rPr>
                <w:rFonts w:asciiTheme="minorHAnsi" w:hAnsiTheme="minorHAnsi"/>
              </w:rPr>
              <w:t>ility of understanding, paraphra</w:t>
            </w:r>
            <w:r w:rsidRPr="003E5A00">
              <w:rPr>
                <w:rFonts w:asciiTheme="minorHAnsi" w:hAnsiTheme="minorHAnsi"/>
              </w:rPr>
              <w:t>sing, interpreting and analysing the texts addressing professional issues, demonstrating increased competence with varied sentence structures and heightened ability to arrange ideas purposefully and coherently with appropriate argumentation/ description/ illustration both in oral and written output.</w:t>
            </w:r>
            <w:r>
              <w:rPr>
                <w:rFonts w:asciiTheme="minorHAnsi" w:hAnsiTheme="minorHAnsi"/>
              </w:rPr>
              <w:t xml:space="preserve"> At the end of the course, s</w:t>
            </w:r>
            <w:r w:rsidRPr="003E5A00">
              <w:rPr>
                <w:rFonts w:asciiTheme="minorHAnsi" w:hAnsiTheme="minorHAnsi" w:cs="Arial"/>
              </w:rPr>
              <w:t>tudents are able to maintain effective and confident communicat</w:t>
            </w:r>
            <w:r>
              <w:rPr>
                <w:rFonts w:asciiTheme="minorHAnsi" w:hAnsiTheme="minorHAnsi" w:cs="Arial"/>
              </w:rPr>
              <w:t xml:space="preserve">ion in the professional context, to </w:t>
            </w:r>
            <w:r w:rsidRPr="003E5A00">
              <w:rPr>
                <w:rFonts w:asciiTheme="minorHAnsi" w:hAnsiTheme="minorHAnsi"/>
              </w:rPr>
              <w:t xml:space="preserve">integrate form, </w:t>
            </w:r>
            <w:r w:rsidRPr="003E5A00">
              <w:rPr>
                <w:rFonts w:asciiTheme="minorHAnsi" w:hAnsiTheme="minorHAnsi"/>
              </w:rPr>
              <w:lastRenderedPageBreak/>
              <w:t>meaning and use in academic discourse settings</w:t>
            </w:r>
            <w:r>
              <w:rPr>
                <w:rFonts w:asciiTheme="minorHAnsi" w:hAnsiTheme="minorHAnsi"/>
              </w:rPr>
              <w:t xml:space="preserve">, </w:t>
            </w:r>
            <w:r w:rsidRPr="003E5A00">
              <w:rPr>
                <w:rFonts w:asciiTheme="minorHAnsi" w:hAnsiTheme="minorHAnsi"/>
              </w:rPr>
              <w:t>demonstrate ability to transfer their knowledge of structure and professional vocabulary into effective, concise and grammatically correct longer types of writing such as formal academic essays.</w:t>
            </w:r>
            <w:r>
              <w:rPr>
                <w:rFonts w:asciiTheme="minorHAnsi" w:hAnsiTheme="minorHAnsi"/>
              </w:rPr>
              <w:t xml:space="preserve"> From the practical point of view, students are trained to be fully </w:t>
            </w:r>
            <w:r w:rsidR="00E602FB">
              <w:rPr>
                <w:rFonts w:asciiTheme="minorHAnsi" w:hAnsiTheme="minorHAnsi"/>
              </w:rPr>
              <w:t xml:space="preserve">capable to “read” any musical score, i.e. to identify all the elements of the “musical language” in English and to competently discuss all the pertaining concepts.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07270" w:rsidRDefault="0085621C" w:rsidP="00F07270">
            <w:pPr>
              <w:pStyle w:val="BodyText"/>
              <w:spacing w:after="120" w:line="264" w:lineRule="auto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After the introductory review of the purpose and use of sheet music, as well as of the concept of the “language” of music, the course</w:t>
            </w:r>
            <w:r w:rsidR="004B10C5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3E5A00">
              <w:rPr>
                <w:rFonts w:asciiTheme="minorHAnsi" w:hAnsiTheme="minorHAnsi"/>
                <w:sz w:val="20"/>
                <w:lang w:val="en-US"/>
              </w:rPr>
              <w:t>focuses on</w:t>
            </w:r>
            <w:r w:rsidR="00E602FB">
              <w:rPr>
                <w:rFonts w:asciiTheme="minorHAnsi" w:hAnsiTheme="minorHAnsi"/>
                <w:sz w:val="20"/>
                <w:lang w:val="en-US"/>
              </w:rPr>
              <w:t xml:space="preserve"> the </w:t>
            </w:r>
            <w:r w:rsidR="00B23F83">
              <w:rPr>
                <w:rFonts w:asciiTheme="minorHAnsi" w:hAnsiTheme="minorHAnsi"/>
                <w:sz w:val="20"/>
                <w:lang w:val="en-US"/>
              </w:rPr>
              <w:t>range of topics generally constituting</w:t>
            </w:r>
            <w:r w:rsidR="000F0EA3">
              <w:rPr>
                <w:rFonts w:asciiTheme="minorHAnsi" w:hAnsiTheme="minorHAnsi"/>
                <w:sz w:val="20"/>
                <w:lang w:val="en-US"/>
              </w:rPr>
              <w:t xml:space="preserve"> the notion of musical notation:</w:t>
            </w:r>
            <w:r w:rsidR="00B23F83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0F0EA3">
              <w:rPr>
                <w:rFonts w:asciiTheme="minorHAnsi" w:hAnsiTheme="minorHAnsi"/>
                <w:sz w:val="20"/>
                <w:lang w:val="en-US"/>
              </w:rPr>
              <w:t>stave,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B23F83">
              <w:rPr>
                <w:rFonts w:asciiTheme="minorHAnsi" w:hAnsiTheme="minorHAnsi"/>
                <w:sz w:val="20"/>
                <w:lang w:val="en-US"/>
              </w:rPr>
              <w:t>clefs and bar-lines; notes and rests; dotting and b</w:t>
            </w:r>
            <w:r w:rsidR="000F0EA3">
              <w:rPr>
                <w:rFonts w:asciiTheme="minorHAnsi" w:hAnsiTheme="minorHAnsi"/>
                <w:sz w:val="20"/>
                <w:lang w:val="en-US"/>
              </w:rPr>
              <w:t>eaming in music; accidentals</w:t>
            </w:r>
            <w:r w:rsidR="00B23F83">
              <w:rPr>
                <w:rFonts w:asciiTheme="minorHAnsi" w:hAnsiTheme="minorHAnsi"/>
                <w:sz w:val="20"/>
                <w:lang w:val="en-US"/>
              </w:rPr>
              <w:t xml:space="preserve">, key signature and key; </w:t>
            </w:r>
            <w:r w:rsidR="000F0EA3">
              <w:rPr>
                <w:rFonts w:asciiTheme="minorHAnsi" w:hAnsiTheme="minorHAnsi"/>
                <w:sz w:val="20"/>
                <w:lang w:val="en-US"/>
              </w:rPr>
              <w:t xml:space="preserve">the concept and major </w:t>
            </w:r>
            <w:r w:rsidR="00B23F83">
              <w:rPr>
                <w:rFonts w:asciiTheme="minorHAnsi" w:hAnsiTheme="minorHAnsi"/>
                <w:sz w:val="20"/>
                <w:lang w:val="en-US"/>
              </w:rPr>
              <w:t>types of scales (</w:t>
            </w:r>
            <w:r w:rsidR="000F0EA3">
              <w:rPr>
                <w:rFonts w:asciiTheme="minorHAnsi" w:hAnsiTheme="minorHAnsi"/>
                <w:sz w:val="20"/>
                <w:lang w:val="en-US"/>
              </w:rPr>
              <w:t>chromatic vs. diatonic, major vs. minor); intervals</w:t>
            </w:r>
            <w:r w:rsidR="00FA0AFE">
              <w:rPr>
                <w:rFonts w:asciiTheme="minorHAnsi" w:hAnsiTheme="minorHAnsi"/>
                <w:sz w:val="20"/>
                <w:lang w:val="en-US"/>
              </w:rPr>
              <w:t>, consonance vs. dissonance;</w:t>
            </w:r>
            <w:r w:rsidR="000F0EA3">
              <w:rPr>
                <w:rFonts w:asciiTheme="minorHAnsi" w:hAnsiTheme="minorHAnsi"/>
                <w:sz w:val="20"/>
                <w:lang w:val="en-US"/>
              </w:rPr>
              <w:t xml:space="preserve"> chords; meter and meter signature; rhythm, syncopation and irregular rhythmic groups; tempo and tempo markings; dynamics and basic types of accents; </w:t>
            </w:r>
            <w:r w:rsidR="000F0EA3">
              <w:rPr>
                <w:rFonts w:asciiTheme="minorHAnsi" w:hAnsiTheme="minorHAnsi"/>
                <w:bCs/>
                <w:sz w:val="20"/>
                <w:lang w:val="sr-Latn-CS"/>
              </w:rPr>
              <w:t xml:space="preserve">melody, harmony and timbre. </w:t>
            </w:r>
            <w:r w:rsidR="00FA66D2">
              <w:rPr>
                <w:rFonts w:asciiTheme="minorHAnsi" w:hAnsiTheme="minorHAnsi"/>
                <w:bCs/>
                <w:sz w:val="20"/>
                <w:lang w:val="sr-Latn-CS"/>
              </w:rPr>
              <w:t>Each topic is complemented with a s</w:t>
            </w:r>
            <w:r w:rsidR="00F07270">
              <w:rPr>
                <w:rFonts w:asciiTheme="minorHAnsi" w:hAnsiTheme="minorHAnsi"/>
                <w:bCs/>
                <w:sz w:val="20"/>
                <w:lang w:val="sr-Latn-CS"/>
              </w:rPr>
              <w:t>pecific language focus</w:t>
            </w:r>
            <w:r w:rsidR="00FA66D2">
              <w:rPr>
                <w:rFonts w:asciiTheme="minorHAnsi" w:hAnsiTheme="minorHAnsi"/>
                <w:bCs/>
                <w:sz w:val="20"/>
                <w:lang w:val="sr-Latn-CS"/>
              </w:rPr>
              <w:t xml:space="preserve"> </w:t>
            </w:r>
            <w:r w:rsidR="00F07270">
              <w:rPr>
                <w:rFonts w:asciiTheme="minorHAnsi" w:hAnsiTheme="minorHAnsi"/>
                <w:bCs/>
                <w:sz w:val="20"/>
                <w:lang w:val="sr-Latn-CS"/>
              </w:rPr>
              <w:t>(</w:t>
            </w:r>
            <w:r w:rsidR="00FA66D2">
              <w:rPr>
                <w:rFonts w:asciiTheme="minorHAnsi" w:hAnsiTheme="minorHAnsi"/>
                <w:bCs/>
                <w:sz w:val="20"/>
                <w:lang w:val="sr-Latn-CS"/>
              </w:rPr>
              <w:t xml:space="preserve">word order, compound nouns, parallel structures in English, </w:t>
            </w:r>
            <w:r w:rsidR="004A58B7">
              <w:rPr>
                <w:rFonts w:asciiTheme="minorHAnsi" w:hAnsiTheme="minorHAnsi"/>
                <w:sz w:val="20"/>
              </w:rPr>
              <w:t>s</w:t>
            </w:r>
            <w:r w:rsidR="004A58B7" w:rsidRPr="003E5A00">
              <w:rPr>
                <w:rFonts w:asciiTheme="minorHAnsi" w:hAnsiTheme="minorHAnsi"/>
                <w:sz w:val="20"/>
              </w:rPr>
              <w:t>ubordinate conjunctions</w:t>
            </w:r>
            <w:r w:rsidR="004A58B7">
              <w:rPr>
                <w:rFonts w:asciiTheme="minorHAnsi" w:hAnsiTheme="minorHAnsi"/>
                <w:sz w:val="20"/>
              </w:rPr>
              <w:t>,</w:t>
            </w:r>
            <w:r w:rsidR="004A58B7" w:rsidRPr="003E5A00">
              <w:rPr>
                <w:rFonts w:asciiTheme="minorHAnsi" w:hAnsiTheme="minorHAnsi"/>
                <w:sz w:val="20"/>
              </w:rPr>
              <w:t xml:space="preserve"> </w:t>
            </w:r>
            <w:r w:rsidR="00FA66D2">
              <w:rPr>
                <w:rFonts w:asciiTheme="minorHAnsi" w:hAnsiTheme="minorHAnsi"/>
                <w:bCs/>
                <w:sz w:val="20"/>
                <w:lang w:val="sr-Latn-CS"/>
              </w:rPr>
              <w:t>numbers, word building (</w:t>
            </w:r>
            <w:r w:rsidR="004A58B7">
              <w:rPr>
                <w:rFonts w:asciiTheme="minorHAnsi" w:hAnsiTheme="minorHAnsi"/>
                <w:bCs/>
                <w:sz w:val="20"/>
                <w:lang w:val="sr-Latn-CS"/>
              </w:rPr>
              <w:t xml:space="preserve">compound nouns, negative </w:t>
            </w:r>
            <w:r w:rsidR="00FA66D2">
              <w:rPr>
                <w:rFonts w:asciiTheme="minorHAnsi" w:hAnsiTheme="minorHAnsi"/>
                <w:bCs/>
                <w:sz w:val="20"/>
                <w:lang w:val="sr-Latn-CS"/>
              </w:rPr>
              <w:t>prefixes</w:t>
            </w:r>
            <w:r w:rsidR="004A58B7">
              <w:rPr>
                <w:rFonts w:asciiTheme="minorHAnsi" w:hAnsiTheme="minorHAnsi"/>
                <w:bCs/>
                <w:sz w:val="20"/>
                <w:lang w:val="sr-Latn-CS"/>
              </w:rPr>
              <w:t>), apostrophies in English, h</w:t>
            </w:r>
            <w:r w:rsidR="004A58B7" w:rsidRPr="003E5A00">
              <w:rPr>
                <w:rFonts w:asciiTheme="minorHAnsi" w:hAnsiTheme="minorHAnsi"/>
                <w:bCs/>
                <w:sz w:val="20"/>
                <w:lang w:val="sr-Latn-CS"/>
              </w:rPr>
              <w:t>omonyms in musical terminology</w:t>
            </w:r>
            <w:r w:rsidR="004A58B7">
              <w:rPr>
                <w:rFonts w:asciiTheme="minorHAnsi" w:hAnsiTheme="minorHAnsi"/>
                <w:bCs/>
                <w:sz w:val="20"/>
                <w:lang w:val="sr-Latn-CS"/>
              </w:rPr>
              <w:t>, punctuation, articles, foreign plural of nouns, a</w:t>
            </w:r>
            <w:r w:rsidR="004A58B7" w:rsidRPr="003E5A00">
              <w:rPr>
                <w:rFonts w:asciiTheme="minorHAnsi" w:hAnsiTheme="minorHAnsi"/>
                <w:bCs/>
                <w:sz w:val="20"/>
                <w:lang w:val="sr-Latn-CS"/>
              </w:rPr>
              <w:t xml:space="preserve">bbreviations in music; </w:t>
            </w:r>
            <w:r w:rsidR="004A58B7">
              <w:rPr>
                <w:rFonts w:asciiTheme="minorHAnsi" w:hAnsiTheme="minorHAnsi"/>
                <w:sz w:val="20"/>
                <w:lang w:val="en-US"/>
              </w:rPr>
              <w:t>a</w:t>
            </w:r>
            <w:r w:rsidR="004A58B7" w:rsidRPr="003E5A00">
              <w:rPr>
                <w:rFonts w:asciiTheme="minorHAnsi" w:hAnsiTheme="minorHAnsi"/>
                <w:sz w:val="20"/>
                <w:lang w:val="en-US"/>
              </w:rPr>
              <w:t>djective</w:t>
            </w:r>
            <w:r w:rsidR="00140A8A">
              <w:rPr>
                <w:rFonts w:asciiTheme="minorHAnsi" w:hAnsiTheme="minorHAnsi"/>
                <w:sz w:val="20"/>
                <w:lang w:val="en-US"/>
              </w:rPr>
              <w:t>s vs.</w:t>
            </w:r>
            <w:r w:rsidR="004A58B7" w:rsidRPr="003E5A00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proofErr w:type="gramStart"/>
            <w:r w:rsidR="004A58B7">
              <w:rPr>
                <w:rFonts w:asciiTheme="minorHAnsi" w:hAnsiTheme="minorHAnsi"/>
                <w:sz w:val="20"/>
                <w:lang w:val="en-US"/>
              </w:rPr>
              <w:t>a</w:t>
            </w:r>
            <w:r w:rsidR="004A58B7" w:rsidRPr="003E5A00">
              <w:rPr>
                <w:rFonts w:asciiTheme="minorHAnsi" w:hAnsiTheme="minorHAnsi"/>
                <w:sz w:val="20"/>
                <w:lang w:val="en-US"/>
              </w:rPr>
              <w:t>dverb</w:t>
            </w:r>
            <w:r w:rsidR="004A58B7">
              <w:rPr>
                <w:rFonts w:asciiTheme="minorHAnsi" w:hAnsiTheme="minorHAnsi"/>
                <w:sz w:val="20"/>
                <w:lang w:val="en-US"/>
              </w:rPr>
              <w:t>s</w:t>
            </w:r>
            <w:proofErr w:type="gramEnd"/>
            <w:r w:rsidR="004A58B7">
              <w:rPr>
                <w:rFonts w:asciiTheme="minorHAnsi" w:hAnsiTheme="minorHAnsi"/>
                <w:sz w:val="20"/>
                <w:lang w:val="en-US"/>
              </w:rPr>
              <w:t xml:space="preserve">, </w:t>
            </w:r>
            <w:r w:rsidR="004A58B7">
              <w:rPr>
                <w:rFonts w:asciiTheme="minorHAnsi" w:hAnsiTheme="minorHAnsi"/>
                <w:sz w:val="20"/>
              </w:rPr>
              <w:t>comparison of a</w:t>
            </w:r>
            <w:r w:rsidR="004A58B7" w:rsidRPr="003E5A00">
              <w:rPr>
                <w:rFonts w:asciiTheme="minorHAnsi" w:hAnsiTheme="minorHAnsi"/>
                <w:sz w:val="20"/>
              </w:rPr>
              <w:t>djectives</w:t>
            </w:r>
            <w:r w:rsidR="00FA0AFE">
              <w:rPr>
                <w:rFonts w:asciiTheme="minorHAnsi" w:hAnsiTheme="minorHAnsi"/>
                <w:sz w:val="20"/>
              </w:rPr>
              <w:t>/adverbs</w:t>
            </w:r>
            <w:r w:rsidR="00F07270">
              <w:rPr>
                <w:rFonts w:asciiTheme="minorHAnsi" w:hAnsiTheme="minorHAnsi"/>
                <w:sz w:val="20"/>
              </w:rPr>
              <w:t xml:space="preserve">) </w:t>
            </w:r>
            <w:r w:rsidR="00F07270">
              <w:rPr>
                <w:rFonts w:asciiTheme="minorHAnsi" w:hAnsiTheme="minorHAnsi"/>
                <w:bCs/>
                <w:sz w:val="20"/>
                <w:lang w:val="en-US"/>
              </w:rPr>
              <w:t>or a grammar revision (Past Simple vs. Present Perfect, Passive Voice, If-clauses).</w:t>
            </w:r>
            <w:r w:rsidR="004A58B7">
              <w:rPr>
                <w:rFonts w:asciiTheme="minorHAnsi" w:hAnsiTheme="minorHAnsi"/>
                <w:sz w:val="20"/>
              </w:rPr>
              <w:t>.</w:t>
            </w:r>
            <w:r w:rsidR="00140A8A">
              <w:rPr>
                <w:rFonts w:asciiTheme="minorHAnsi" w:hAnsiTheme="minorHAnsi"/>
                <w:sz w:val="20"/>
              </w:rPr>
              <w:t xml:space="preserve"> Aside from the mid-term progress test, the course includes </w:t>
            </w:r>
            <w:r w:rsidR="00FA0AFE">
              <w:rPr>
                <w:rFonts w:asciiTheme="minorHAnsi" w:hAnsiTheme="minorHAnsi"/>
                <w:sz w:val="20"/>
              </w:rPr>
              <w:t>one</w:t>
            </w:r>
            <w:r w:rsidR="00140A8A">
              <w:rPr>
                <w:rFonts w:asciiTheme="minorHAnsi" w:hAnsiTheme="minorHAnsi"/>
                <w:sz w:val="20"/>
              </w:rPr>
              <w:t xml:space="preserve"> </w:t>
            </w:r>
            <w:r w:rsidR="00140A8A" w:rsidRPr="00140A8A">
              <w:rPr>
                <w:rFonts w:asciiTheme="minorHAnsi" w:hAnsiTheme="minorHAnsi"/>
                <w:sz w:val="20"/>
                <w:lang w:val="en-US"/>
              </w:rPr>
              <w:t>competitive test (identification of musical signs in a segment of classical</w:t>
            </w:r>
            <w:r w:rsidR="00FA0AFE">
              <w:rPr>
                <w:rFonts w:asciiTheme="minorHAnsi" w:hAnsiTheme="minorHAnsi"/>
                <w:sz w:val="20"/>
                <w:lang w:val="en-US"/>
              </w:rPr>
              <w:t xml:space="preserve"> music score followed by a </w:t>
            </w:r>
            <w:r w:rsidR="00140A8A" w:rsidRPr="00140A8A">
              <w:rPr>
                <w:rFonts w:asciiTheme="minorHAnsi" w:hAnsiTheme="minorHAnsi"/>
                <w:sz w:val="20"/>
                <w:lang w:val="en-US"/>
              </w:rPr>
              <w:t>discussion on common</w:t>
            </w:r>
            <w:r w:rsidR="00140A8A" w:rsidRPr="003E5A00">
              <w:rPr>
                <w:rFonts w:asciiTheme="minorHAnsi" w:hAnsiTheme="minorHAnsi"/>
                <w:spacing w:val="-4"/>
                <w:sz w:val="20"/>
                <w:lang w:val="en-US"/>
              </w:rPr>
              <w:t xml:space="preserve"> mistakes</w:t>
            </w:r>
            <w:r w:rsidR="00140A8A">
              <w:rPr>
                <w:rFonts w:asciiTheme="minorHAnsi" w:hAnsiTheme="minorHAnsi"/>
                <w:spacing w:val="-4"/>
                <w:sz w:val="20"/>
                <w:lang w:val="en-US"/>
              </w:rPr>
              <w:t xml:space="preserve">), as well as at least two in-class written assignments.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82E01" w:rsidP="00140A8A">
            <w:pPr>
              <w:tabs>
                <w:tab w:val="left" w:pos="360"/>
              </w:tabs>
              <w:spacing w:before="120"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87D1E" w:rsidRPr="00F87D1E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</w:t>
            </w:r>
            <w:r w:rsidR="00F87D1E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82E0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F87D1E">
              <w:rPr>
                <w:rFonts w:ascii="Candara" w:hAnsi="Candara"/>
                <w:b/>
              </w:rPr>
              <w:t xml:space="preserve">  (50)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F87D1E">
              <w:rPr>
                <w:rFonts w:ascii="Candara" w:hAnsi="Candara"/>
                <w:b/>
              </w:rPr>
              <w:t xml:space="preserve"> (50)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87D1E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F87D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E4" w:rsidRDefault="00834EE4" w:rsidP="00864926">
      <w:pPr>
        <w:spacing w:after="0" w:line="240" w:lineRule="auto"/>
      </w:pPr>
      <w:r>
        <w:separator/>
      </w:r>
    </w:p>
  </w:endnote>
  <w:endnote w:type="continuationSeparator" w:id="1">
    <w:p w:rsidR="00834EE4" w:rsidRDefault="00834E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FrizQuadrata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E4" w:rsidRDefault="00834EE4" w:rsidP="00864926">
      <w:pPr>
        <w:spacing w:after="0" w:line="240" w:lineRule="auto"/>
      </w:pPr>
      <w:r>
        <w:separator/>
      </w:r>
    </w:p>
  </w:footnote>
  <w:footnote w:type="continuationSeparator" w:id="1">
    <w:p w:rsidR="00834EE4" w:rsidRDefault="00834E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7BF27B4"/>
    <w:multiLevelType w:val="hybridMultilevel"/>
    <w:tmpl w:val="AA2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5BBB"/>
    <w:multiLevelType w:val="hybridMultilevel"/>
    <w:tmpl w:val="9E629EF4"/>
    <w:lvl w:ilvl="0" w:tplc="A2C28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FrizQuadrataR" w:eastAsia="Times New Roman" w:hAnsi="YUFrizQuadrata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223F7"/>
    <w:multiLevelType w:val="hybridMultilevel"/>
    <w:tmpl w:val="C16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E1F22"/>
    <w:rsid w:val="000F0EA3"/>
    <w:rsid w:val="000F6001"/>
    <w:rsid w:val="00140A8A"/>
    <w:rsid w:val="001D3BF1"/>
    <w:rsid w:val="001D64D3"/>
    <w:rsid w:val="001F14FA"/>
    <w:rsid w:val="001F60E3"/>
    <w:rsid w:val="002319B6"/>
    <w:rsid w:val="002774B8"/>
    <w:rsid w:val="00282E01"/>
    <w:rsid w:val="002956AF"/>
    <w:rsid w:val="002C140B"/>
    <w:rsid w:val="00315601"/>
    <w:rsid w:val="00323176"/>
    <w:rsid w:val="003B32A9"/>
    <w:rsid w:val="003C177A"/>
    <w:rsid w:val="003E5A00"/>
    <w:rsid w:val="00406F80"/>
    <w:rsid w:val="00431EFA"/>
    <w:rsid w:val="00493925"/>
    <w:rsid w:val="004A58B7"/>
    <w:rsid w:val="004B10C5"/>
    <w:rsid w:val="004D1C7E"/>
    <w:rsid w:val="004E562D"/>
    <w:rsid w:val="00503A8D"/>
    <w:rsid w:val="00545384"/>
    <w:rsid w:val="005A5D38"/>
    <w:rsid w:val="005B0885"/>
    <w:rsid w:val="005B64BF"/>
    <w:rsid w:val="005D46D7"/>
    <w:rsid w:val="00603117"/>
    <w:rsid w:val="0069043C"/>
    <w:rsid w:val="006E40AE"/>
    <w:rsid w:val="006F647C"/>
    <w:rsid w:val="00721FBD"/>
    <w:rsid w:val="00734DFF"/>
    <w:rsid w:val="007629B6"/>
    <w:rsid w:val="00783C57"/>
    <w:rsid w:val="00792CB4"/>
    <w:rsid w:val="007B2B43"/>
    <w:rsid w:val="00834EE4"/>
    <w:rsid w:val="0085621C"/>
    <w:rsid w:val="00864926"/>
    <w:rsid w:val="008A30CE"/>
    <w:rsid w:val="008B1D6B"/>
    <w:rsid w:val="008C31B7"/>
    <w:rsid w:val="008F01F3"/>
    <w:rsid w:val="00911529"/>
    <w:rsid w:val="00932B21"/>
    <w:rsid w:val="00972302"/>
    <w:rsid w:val="009906EA"/>
    <w:rsid w:val="009B111C"/>
    <w:rsid w:val="009D3F5E"/>
    <w:rsid w:val="009F3F9F"/>
    <w:rsid w:val="00A10286"/>
    <w:rsid w:val="00A1335D"/>
    <w:rsid w:val="00AA304A"/>
    <w:rsid w:val="00AF47A6"/>
    <w:rsid w:val="00B23F83"/>
    <w:rsid w:val="00B50491"/>
    <w:rsid w:val="00B54668"/>
    <w:rsid w:val="00B9521A"/>
    <w:rsid w:val="00BD3504"/>
    <w:rsid w:val="00C63234"/>
    <w:rsid w:val="00CA6D81"/>
    <w:rsid w:val="00CC23C3"/>
    <w:rsid w:val="00CC7F0B"/>
    <w:rsid w:val="00CD17F1"/>
    <w:rsid w:val="00D55A13"/>
    <w:rsid w:val="00D92F39"/>
    <w:rsid w:val="00DB43CC"/>
    <w:rsid w:val="00E1222F"/>
    <w:rsid w:val="00E15DD1"/>
    <w:rsid w:val="00E47B95"/>
    <w:rsid w:val="00E5013A"/>
    <w:rsid w:val="00E602FB"/>
    <w:rsid w:val="00E60599"/>
    <w:rsid w:val="00E71A0B"/>
    <w:rsid w:val="00E8188A"/>
    <w:rsid w:val="00E857F8"/>
    <w:rsid w:val="00EA7E0C"/>
    <w:rsid w:val="00EC53EE"/>
    <w:rsid w:val="00EF7B6D"/>
    <w:rsid w:val="00F06AFA"/>
    <w:rsid w:val="00F07270"/>
    <w:rsid w:val="00F12585"/>
    <w:rsid w:val="00F237EB"/>
    <w:rsid w:val="00F56373"/>
    <w:rsid w:val="00F742D3"/>
    <w:rsid w:val="00F87D1E"/>
    <w:rsid w:val="00FA0AFE"/>
    <w:rsid w:val="00FA66D2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8F01F3"/>
    <w:rPr>
      <w:i/>
      <w:iCs/>
    </w:rPr>
  </w:style>
  <w:style w:type="character" w:customStyle="1" w:styleId="apple-converted-space">
    <w:name w:val="apple-converted-space"/>
    <w:basedOn w:val="DefaultParagraphFont"/>
    <w:rsid w:val="008F01F3"/>
  </w:style>
  <w:style w:type="paragraph" w:styleId="BodyText">
    <w:name w:val="Body Text"/>
    <w:basedOn w:val="Normal"/>
    <w:link w:val="BodyTextChar"/>
    <w:rsid w:val="003E5A00"/>
    <w:pPr>
      <w:suppressAutoHyphens w:val="0"/>
      <w:spacing w:after="0" w:line="240" w:lineRule="auto"/>
    </w:pPr>
    <w:rPr>
      <w:rFonts w:ascii="Verdana" w:hAnsi="Verdana" w:cs="Tahoma"/>
      <w:sz w:val="22"/>
      <w:lang w:val="sl-SI"/>
    </w:rPr>
  </w:style>
  <w:style w:type="character" w:customStyle="1" w:styleId="BodyTextChar">
    <w:name w:val="Body Text Char"/>
    <w:basedOn w:val="DefaultParagraphFont"/>
    <w:link w:val="BodyText"/>
    <w:rsid w:val="003E5A00"/>
    <w:rPr>
      <w:rFonts w:ascii="Verdana" w:eastAsia="Times New Roman" w:hAnsi="Verdana" w:cs="Tahoma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2016-04-22T11:50:00Z</dcterms:created>
  <dcterms:modified xsi:type="dcterms:W3CDTF">2016-04-22T11:50:00Z</dcterms:modified>
</cp:coreProperties>
</file>