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073F94" w:rsidRDefault="00E71A0B" w:rsidP="00E71A0B">
      <w:pPr>
        <w:spacing w:after="0"/>
        <w:ind w:left="1089"/>
        <w:rPr>
          <w:rFonts w:ascii="Candara" w:hAnsi="Candara"/>
          <w:lang w:val="sr-Latn-CS"/>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073F9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073F94" w:rsidP="00E857F8">
            <w:pPr>
              <w:spacing w:line="240" w:lineRule="auto"/>
              <w:contextualSpacing/>
              <w:jc w:val="left"/>
              <w:rPr>
                <w:rFonts w:ascii="Candara" w:hAnsi="Candara"/>
              </w:rPr>
            </w:pPr>
            <w:r>
              <w:rPr>
                <w:rFonts w:ascii="Candara" w:hAnsi="Candara"/>
              </w:rPr>
              <w:t>Intro to clinical practice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D45A5" w:rsidP="00073F94">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073F94">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D45A5" w:rsidP="00073F94">
            <w:pPr>
              <w:spacing w:line="240" w:lineRule="auto"/>
              <w:contextualSpacing/>
              <w:jc w:val="left"/>
              <w:rPr>
                <w:rFonts w:ascii="Candara" w:hAnsi="Candara"/>
              </w:rPr>
            </w:pPr>
            <w:sdt>
              <w:sdtPr>
                <w:rPr>
                  <w:rFonts w:ascii="Candara" w:hAnsi="Candara"/>
                </w:rPr>
                <w:id w:val="485128928"/>
              </w:sdtPr>
              <w:sdtContent>
                <w:r w:rsidR="00073F94">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073F94">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073F94">
                  <w:rPr>
                    <w:rFonts w:ascii="MS Gothic" w:eastAsia="MS Gothic" w:hAnsi="MS Gothic" w:cs="Arial"/>
                    <w:lang w:val="en-US"/>
                  </w:rPr>
                  <w:t>x</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073F94"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73F94"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73F94" w:rsidP="00E857F8">
            <w:pPr>
              <w:spacing w:line="240" w:lineRule="auto"/>
              <w:contextualSpacing/>
              <w:jc w:val="left"/>
              <w:rPr>
                <w:rFonts w:ascii="Candara" w:hAnsi="Candara"/>
              </w:rPr>
            </w:pPr>
            <w:r>
              <w:rPr>
                <w:rFonts w:ascii="Candara" w:hAnsi="Candara"/>
              </w:rPr>
              <w:t>Prof. dr Stojanka Arsić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073F94">
                  <w:rPr>
                    <w:rFonts w:ascii="MS Gothic" w:eastAsia="MS Gothic" w:hAnsi="MS Gothic"/>
                  </w:rPr>
                  <w:t>x</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073F94">
                  <w:rPr>
                    <w:rFonts w:ascii="MS Gothic" w:eastAsia="MS Gothic" w:hAnsi="MS Gothic"/>
                  </w:rPr>
                  <w:t>x</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073F94">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073F94" w:rsidRDefault="00073F94" w:rsidP="00911529">
            <w:pPr>
              <w:spacing w:line="240" w:lineRule="auto"/>
              <w:contextualSpacing/>
              <w:jc w:val="left"/>
              <w:rPr>
                <w:rFonts w:ascii="Candara" w:hAnsi="Candara"/>
                <w:i/>
                <w:lang w:val="en-US"/>
              </w:rPr>
            </w:pPr>
            <w:r w:rsidRPr="004A2759">
              <w:rPr>
                <w:rFonts w:ascii="Arial Narrow" w:hAnsi="Arial Narrow"/>
                <w:sz w:val="24"/>
                <w:szCs w:val="24"/>
              </w:rPr>
              <w:t>Students should gain good command of the rules of professional communication with patients, colleagues and other medical and paramedic staff (professional etiquette), ethical principles in medicine, anamnesis and history taking, medical documentation and with legal aspects of healthcare.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6"/>
            </w:tblGrid>
            <w:tr w:rsidR="00073F94" w:rsidRPr="004A2759" w:rsidTr="00781F0A">
              <w:trPr>
                <w:jc w:val="center"/>
              </w:trPr>
              <w:tc>
                <w:tcPr>
                  <w:tcW w:w="7354" w:type="dxa"/>
                  <w:shd w:val="clear" w:color="auto" w:fill="auto"/>
                </w:tcPr>
                <w:p w:rsidR="00073F94" w:rsidRPr="004A2759" w:rsidRDefault="00073F94" w:rsidP="00781F0A">
                  <w:pPr>
                    <w:rPr>
                      <w:rFonts w:ascii="Arial Narrow" w:hAnsi="Arial Narrow"/>
                      <w:sz w:val="24"/>
                      <w:szCs w:val="24"/>
                    </w:rPr>
                  </w:pPr>
                  <w:r w:rsidRPr="004A2759">
                    <w:rPr>
                      <w:rFonts w:ascii="Arial Narrow" w:hAnsi="Arial Narrow"/>
                      <w:sz w:val="24"/>
                      <w:szCs w:val="24"/>
                    </w:rPr>
                    <w:t>Basic principles of professional communication: doctor-patient, doctor-doctor, doctor-other health professionals.</w:t>
                  </w:r>
                </w:p>
              </w:tc>
            </w:tr>
            <w:tr w:rsidR="00073F94" w:rsidRPr="004A2759" w:rsidTr="00781F0A">
              <w:trPr>
                <w:jc w:val="center"/>
              </w:trPr>
              <w:tc>
                <w:tcPr>
                  <w:tcW w:w="7354" w:type="dxa"/>
                  <w:shd w:val="clear" w:color="auto" w:fill="auto"/>
                </w:tcPr>
                <w:p w:rsidR="00073F94" w:rsidRPr="004A2759" w:rsidRDefault="00073F94" w:rsidP="00781F0A">
                  <w:pPr>
                    <w:rPr>
                      <w:rFonts w:ascii="Arial Narrow" w:hAnsi="Arial Narrow"/>
                      <w:sz w:val="24"/>
                      <w:szCs w:val="24"/>
                    </w:rPr>
                  </w:pPr>
                  <w:r w:rsidRPr="004A2759">
                    <w:rPr>
                      <w:rFonts w:ascii="Arial Narrow" w:hAnsi="Arial Narrow"/>
                      <w:sz w:val="24"/>
                      <w:szCs w:val="24"/>
                    </w:rPr>
                    <w:t>Professional etiquette. Errors in communication with patients. Iatrogenesis. Video-material, with examples.</w:t>
                  </w:r>
                </w:p>
              </w:tc>
            </w:tr>
            <w:tr w:rsidR="00073F94" w:rsidRPr="004A2759" w:rsidTr="00781F0A">
              <w:trPr>
                <w:jc w:val="center"/>
              </w:trPr>
              <w:tc>
                <w:tcPr>
                  <w:tcW w:w="7354" w:type="dxa"/>
                  <w:shd w:val="clear" w:color="auto" w:fill="auto"/>
                </w:tcPr>
                <w:p w:rsidR="00073F94" w:rsidRPr="004A2759" w:rsidRDefault="00073F94" w:rsidP="00781F0A">
                  <w:pPr>
                    <w:rPr>
                      <w:rFonts w:ascii="Arial Narrow" w:hAnsi="Arial Narrow"/>
                      <w:sz w:val="24"/>
                      <w:szCs w:val="24"/>
                    </w:rPr>
                  </w:pPr>
                  <w:r w:rsidRPr="004A2759">
                    <w:rPr>
                      <w:rFonts w:ascii="Arial Narrow" w:hAnsi="Arial Narrow"/>
                      <w:sz w:val="24"/>
                      <w:szCs w:val="24"/>
                    </w:rPr>
                    <w:t>Non-verbal communication and its significance in communication with patients.</w:t>
                  </w:r>
                </w:p>
              </w:tc>
            </w:tr>
            <w:tr w:rsidR="00073F94" w:rsidRPr="004A2759" w:rsidTr="00781F0A">
              <w:trPr>
                <w:jc w:val="center"/>
              </w:trPr>
              <w:tc>
                <w:tcPr>
                  <w:tcW w:w="7354" w:type="dxa"/>
                  <w:shd w:val="clear" w:color="auto" w:fill="auto"/>
                </w:tcPr>
                <w:p w:rsidR="00073F94" w:rsidRPr="004A2759" w:rsidRDefault="00073F94" w:rsidP="00781F0A">
                  <w:pPr>
                    <w:rPr>
                      <w:rFonts w:ascii="Arial Narrow" w:hAnsi="Arial Narrow"/>
                      <w:sz w:val="24"/>
                      <w:szCs w:val="24"/>
                    </w:rPr>
                  </w:pPr>
                  <w:r w:rsidRPr="004A2759">
                    <w:rPr>
                      <w:rFonts w:ascii="Arial Narrow" w:hAnsi="Arial Narrow"/>
                      <w:sz w:val="24"/>
                      <w:szCs w:val="24"/>
                    </w:rPr>
                    <w:t>Non-verbal communication – video-material, with examples from clinical practice.</w:t>
                  </w:r>
                </w:p>
              </w:tc>
            </w:tr>
            <w:tr w:rsidR="00073F94" w:rsidRPr="004A2759" w:rsidTr="00781F0A">
              <w:trPr>
                <w:jc w:val="center"/>
              </w:trPr>
              <w:tc>
                <w:tcPr>
                  <w:tcW w:w="7354" w:type="dxa"/>
                  <w:shd w:val="clear" w:color="auto" w:fill="auto"/>
                </w:tcPr>
                <w:p w:rsidR="00073F94" w:rsidRPr="004A2759" w:rsidRDefault="00073F94" w:rsidP="00781F0A">
                  <w:pPr>
                    <w:rPr>
                      <w:rFonts w:ascii="Arial Narrow" w:hAnsi="Arial Narrow"/>
                      <w:sz w:val="24"/>
                      <w:szCs w:val="24"/>
                    </w:rPr>
                  </w:pPr>
                  <w:r w:rsidRPr="004A2759">
                    <w:rPr>
                      <w:rFonts w:ascii="Arial Narrow" w:hAnsi="Arial Narrow"/>
                      <w:sz w:val="24"/>
                      <w:szCs w:val="24"/>
                    </w:rPr>
                    <w:t xml:space="preserve">Communication with various social groups: pre-school and school children, adolescents, elderly, pregnant </w:t>
                  </w:r>
                  <w:r w:rsidRPr="004A2759">
                    <w:rPr>
                      <w:rFonts w:ascii="Arial Narrow" w:hAnsi="Arial Narrow"/>
                      <w:sz w:val="24"/>
                      <w:szCs w:val="24"/>
                    </w:rPr>
                    <w:lastRenderedPageBreak/>
                    <w:t>women.</w:t>
                  </w:r>
                </w:p>
              </w:tc>
            </w:tr>
            <w:tr w:rsidR="00073F94" w:rsidRPr="004A2759" w:rsidTr="00781F0A">
              <w:trPr>
                <w:jc w:val="center"/>
              </w:trPr>
              <w:tc>
                <w:tcPr>
                  <w:tcW w:w="7354" w:type="dxa"/>
                  <w:shd w:val="clear" w:color="auto" w:fill="auto"/>
                </w:tcPr>
                <w:p w:rsidR="00073F94" w:rsidRPr="004A2759" w:rsidRDefault="00073F94" w:rsidP="00781F0A">
                  <w:pPr>
                    <w:rPr>
                      <w:rFonts w:ascii="Arial Narrow" w:hAnsi="Arial Narrow"/>
                      <w:sz w:val="24"/>
                      <w:szCs w:val="24"/>
                    </w:rPr>
                  </w:pPr>
                  <w:r w:rsidRPr="004A2759">
                    <w:rPr>
                      <w:rFonts w:ascii="Arial Narrow" w:hAnsi="Arial Narrow"/>
                      <w:sz w:val="24"/>
                      <w:szCs w:val="24"/>
                    </w:rPr>
                    <w:lastRenderedPageBreak/>
                    <w:t>Communication with the handicapped (disabled). Communication with persons with damaged vision and hearing. Sign language. Communication with psychiatric patients.</w:t>
                  </w:r>
                </w:p>
              </w:tc>
            </w:tr>
            <w:tr w:rsidR="00073F94" w:rsidRPr="004A2759" w:rsidTr="00781F0A">
              <w:trPr>
                <w:jc w:val="center"/>
              </w:trPr>
              <w:tc>
                <w:tcPr>
                  <w:tcW w:w="7354" w:type="dxa"/>
                  <w:shd w:val="clear" w:color="auto" w:fill="auto"/>
                </w:tcPr>
                <w:p w:rsidR="00073F94" w:rsidRPr="004A2759" w:rsidRDefault="00073F94" w:rsidP="00781F0A">
                  <w:pPr>
                    <w:rPr>
                      <w:rFonts w:ascii="Arial Narrow" w:hAnsi="Arial Narrow"/>
                      <w:sz w:val="24"/>
                      <w:szCs w:val="24"/>
                    </w:rPr>
                  </w:pPr>
                  <w:r w:rsidRPr="004A2759">
                    <w:rPr>
                      <w:rFonts w:ascii="Arial Narrow" w:hAnsi="Arial Narrow"/>
                      <w:sz w:val="24"/>
                      <w:szCs w:val="24"/>
                    </w:rPr>
                    <w:t>Chronic disease in a family. Informing about a diagnosis. Acceptance of the disease by a patient and his family. Behavior of the patient, family, and doctor.</w:t>
                  </w:r>
                </w:p>
              </w:tc>
            </w:tr>
            <w:tr w:rsidR="00073F94" w:rsidRPr="004A2759" w:rsidTr="00781F0A">
              <w:trPr>
                <w:jc w:val="center"/>
              </w:trPr>
              <w:tc>
                <w:tcPr>
                  <w:tcW w:w="7354" w:type="dxa"/>
                  <w:shd w:val="clear" w:color="auto" w:fill="auto"/>
                </w:tcPr>
                <w:p w:rsidR="00073F94" w:rsidRPr="004A2759" w:rsidRDefault="00073F94" w:rsidP="00781F0A">
                  <w:pPr>
                    <w:rPr>
                      <w:rFonts w:ascii="Arial Narrow" w:hAnsi="Arial Narrow"/>
                      <w:sz w:val="24"/>
                      <w:szCs w:val="24"/>
                    </w:rPr>
                  </w:pPr>
                  <w:r w:rsidRPr="004A2759">
                    <w:rPr>
                      <w:rFonts w:ascii="Arial Narrow" w:hAnsi="Arial Narrow"/>
                      <w:sz w:val="24"/>
                      <w:szCs w:val="24"/>
                    </w:rPr>
                    <w:t>Patient report.</w:t>
                  </w:r>
                </w:p>
              </w:tc>
            </w:tr>
            <w:tr w:rsidR="00073F94" w:rsidRPr="004A2759" w:rsidTr="00781F0A">
              <w:trPr>
                <w:jc w:val="center"/>
              </w:trPr>
              <w:tc>
                <w:tcPr>
                  <w:tcW w:w="7354" w:type="dxa"/>
                  <w:shd w:val="clear" w:color="auto" w:fill="auto"/>
                </w:tcPr>
                <w:p w:rsidR="00073F94" w:rsidRPr="004A2759" w:rsidRDefault="00073F94" w:rsidP="00781F0A">
                  <w:pPr>
                    <w:rPr>
                      <w:rFonts w:ascii="Arial Narrow" w:hAnsi="Arial Narrow"/>
                      <w:sz w:val="24"/>
                      <w:szCs w:val="24"/>
                    </w:rPr>
                  </w:pPr>
                  <w:r w:rsidRPr="004A2759">
                    <w:rPr>
                      <w:rFonts w:ascii="Arial Narrow" w:hAnsi="Arial Narrow"/>
                      <w:sz w:val="24"/>
                      <w:szCs w:val="24"/>
                    </w:rPr>
                    <w:t>Principles of ethical decision-making, „Ethics in Practice“. Patient consent (operation and other interventions).</w:t>
                  </w:r>
                </w:p>
              </w:tc>
            </w:tr>
            <w:tr w:rsidR="00073F94" w:rsidRPr="004A2759" w:rsidTr="00781F0A">
              <w:trPr>
                <w:jc w:val="center"/>
              </w:trPr>
              <w:tc>
                <w:tcPr>
                  <w:tcW w:w="7354" w:type="dxa"/>
                  <w:shd w:val="clear" w:color="auto" w:fill="auto"/>
                </w:tcPr>
                <w:p w:rsidR="00073F94" w:rsidRPr="004A2759" w:rsidRDefault="00073F94" w:rsidP="00781F0A">
                  <w:pPr>
                    <w:rPr>
                      <w:rFonts w:ascii="Arial Narrow" w:hAnsi="Arial Narrow"/>
                      <w:sz w:val="24"/>
                      <w:szCs w:val="24"/>
                    </w:rPr>
                  </w:pPr>
                  <w:r w:rsidRPr="004A2759">
                    <w:rPr>
                      <w:rFonts w:ascii="Arial Narrow" w:hAnsi="Arial Narrow"/>
                      <w:sz w:val="24"/>
                      <w:szCs w:val="24"/>
                    </w:rPr>
                    <w:t>Euthanasia.</w:t>
                  </w:r>
                </w:p>
              </w:tc>
            </w:tr>
            <w:tr w:rsidR="00073F94" w:rsidRPr="004A2759" w:rsidTr="00781F0A">
              <w:trPr>
                <w:jc w:val="center"/>
              </w:trPr>
              <w:tc>
                <w:tcPr>
                  <w:tcW w:w="7354" w:type="dxa"/>
                  <w:shd w:val="clear" w:color="auto" w:fill="auto"/>
                </w:tcPr>
                <w:p w:rsidR="00073F94" w:rsidRPr="004A2759" w:rsidRDefault="00073F94" w:rsidP="00781F0A">
                  <w:pPr>
                    <w:rPr>
                      <w:rFonts w:ascii="Arial Narrow" w:hAnsi="Arial Narrow"/>
                      <w:sz w:val="24"/>
                      <w:szCs w:val="24"/>
                    </w:rPr>
                  </w:pPr>
                  <w:r w:rsidRPr="004A2759">
                    <w:rPr>
                      <w:rFonts w:ascii="Arial Narrow" w:hAnsi="Arial Narrow"/>
                      <w:sz w:val="24"/>
                      <w:szCs w:val="24"/>
                    </w:rPr>
                    <w:t>Quality of life. Health-related quality of life.</w:t>
                  </w:r>
                </w:p>
              </w:tc>
            </w:tr>
            <w:tr w:rsidR="00073F94" w:rsidRPr="004A2759" w:rsidTr="00781F0A">
              <w:trPr>
                <w:jc w:val="center"/>
              </w:trPr>
              <w:tc>
                <w:tcPr>
                  <w:tcW w:w="7354" w:type="dxa"/>
                  <w:shd w:val="clear" w:color="auto" w:fill="auto"/>
                </w:tcPr>
                <w:p w:rsidR="00073F94" w:rsidRPr="004A2759" w:rsidRDefault="00073F94" w:rsidP="00781F0A">
                  <w:pPr>
                    <w:rPr>
                      <w:rFonts w:ascii="Arial Narrow" w:hAnsi="Arial Narrow"/>
                      <w:sz w:val="24"/>
                      <w:szCs w:val="24"/>
                    </w:rPr>
                  </w:pPr>
                  <w:r w:rsidRPr="004A2759">
                    <w:rPr>
                      <w:rFonts w:ascii="Arial Narrow" w:hAnsi="Arial Narrow"/>
                      <w:sz w:val="24"/>
                      <w:szCs w:val="24"/>
                    </w:rPr>
                    <w:t>Impact of sexual behavior on health and quality of life. Impact of alcohol and drug abuse on quality of life.</w:t>
                  </w:r>
                </w:p>
              </w:tc>
            </w:tr>
            <w:tr w:rsidR="00073F94" w:rsidRPr="004A2759" w:rsidTr="00781F0A">
              <w:trPr>
                <w:jc w:val="center"/>
              </w:trPr>
              <w:tc>
                <w:tcPr>
                  <w:tcW w:w="7354" w:type="dxa"/>
                  <w:shd w:val="clear" w:color="auto" w:fill="auto"/>
                </w:tcPr>
                <w:p w:rsidR="00073F94" w:rsidRPr="004A2759" w:rsidRDefault="00073F94" w:rsidP="00781F0A">
                  <w:pPr>
                    <w:rPr>
                      <w:rFonts w:ascii="Arial Narrow" w:hAnsi="Arial Narrow"/>
                      <w:sz w:val="24"/>
                      <w:szCs w:val="24"/>
                    </w:rPr>
                  </w:pPr>
                  <w:r w:rsidRPr="004A2759">
                    <w:rPr>
                      <w:rFonts w:ascii="Arial Narrow" w:hAnsi="Arial Narrow"/>
                      <w:sz w:val="24"/>
                      <w:szCs w:val="24"/>
                    </w:rPr>
                    <w:t>Medical documentation.</w:t>
                  </w:r>
                </w:p>
              </w:tc>
            </w:tr>
            <w:tr w:rsidR="00073F94" w:rsidRPr="004A2759" w:rsidTr="00781F0A">
              <w:trPr>
                <w:jc w:val="center"/>
              </w:trPr>
              <w:tc>
                <w:tcPr>
                  <w:tcW w:w="7354" w:type="dxa"/>
                  <w:shd w:val="clear" w:color="auto" w:fill="auto"/>
                </w:tcPr>
                <w:p w:rsidR="00073F94" w:rsidRPr="004A2759" w:rsidRDefault="00073F94" w:rsidP="00781F0A">
                  <w:pPr>
                    <w:rPr>
                      <w:rFonts w:ascii="Arial Narrow" w:hAnsi="Arial Narrow"/>
                      <w:sz w:val="24"/>
                      <w:szCs w:val="24"/>
                    </w:rPr>
                  </w:pPr>
                  <w:r w:rsidRPr="004A2759">
                    <w:rPr>
                      <w:rFonts w:ascii="Arial Narrow" w:hAnsi="Arial Narrow"/>
                      <w:sz w:val="24"/>
                      <w:szCs w:val="24"/>
                    </w:rPr>
                    <w:t>Legal aspects of health care.</w:t>
                  </w:r>
                </w:p>
              </w:tc>
            </w:tr>
            <w:tr w:rsidR="00073F94" w:rsidRPr="004A2759" w:rsidTr="00781F0A">
              <w:trPr>
                <w:jc w:val="center"/>
              </w:trPr>
              <w:tc>
                <w:tcPr>
                  <w:tcW w:w="7354" w:type="dxa"/>
                  <w:shd w:val="clear" w:color="auto" w:fill="auto"/>
                </w:tcPr>
                <w:p w:rsidR="00073F94" w:rsidRPr="004A2759" w:rsidRDefault="00073F94" w:rsidP="00781F0A">
                  <w:pPr>
                    <w:rPr>
                      <w:rFonts w:ascii="Arial Narrow" w:hAnsi="Arial Narrow"/>
                      <w:sz w:val="24"/>
                      <w:szCs w:val="24"/>
                    </w:rPr>
                  </w:pPr>
                  <w:r w:rsidRPr="004A2759">
                    <w:rPr>
                      <w:rFonts w:ascii="Arial Narrow" w:hAnsi="Arial Narrow"/>
                      <w:sz w:val="24"/>
                      <w:szCs w:val="24"/>
                    </w:rPr>
                    <w:t>„How to become and remain a good doctor“. Basics of propedeutics. Patient history. Intro to „Basics of Clinical Practice“. Basic symptoms &amp; signs of cardiovascular, digestive, respiratory, urinary, and locomotive diseases.</w:t>
                  </w:r>
                </w:p>
              </w:tc>
            </w:tr>
          </w:tbl>
          <w:p w:rsidR="00B54668" w:rsidRPr="00073F94" w:rsidRDefault="00B54668" w:rsidP="00E857F8">
            <w:pPr>
              <w:tabs>
                <w:tab w:val="left" w:pos="360"/>
              </w:tabs>
              <w:spacing w:after="0" w:line="240" w:lineRule="auto"/>
              <w:jc w:val="left"/>
              <w:rPr>
                <w:rFonts w:ascii="Candara" w:hAnsi="Candara"/>
                <w:b/>
                <w:lang w:val="en-US"/>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D45A5" w:rsidP="00E857F8">
            <w:pPr>
              <w:tabs>
                <w:tab w:val="left" w:pos="360"/>
              </w:tabs>
              <w:spacing w:after="0" w:line="240" w:lineRule="auto"/>
              <w:jc w:val="left"/>
              <w:rPr>
                <w:rFonts w:ascii="Candara" w:hAnsi="Candara"/>
              </w:rPr>
            </w:pPr>
            <w:sdt>
              <w:sdtPr>
                <w:rPr>
                  <w:rFonts w:ascii="Candara" w:hAnsi="Candara"/>
                </w:rPr>
                <w:id w:val="99386002"/>
              </w:sdtPr>
              <w:sdtContent>
                <w:r w:rsidR="00073F94">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073F94">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D45A5"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073F94"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073F94" w:rsidP="00E857F8">
            <w:pPr>
              <w:tabs>
                <w:tab w:val="left" w:pos="360"/>
              </w:tabs>
              <w:spacing w:after="0" w:line="240" w:lineRule="auto"/>
              <w:jc w:val="left"/>
              <w:rPr>
                <w:rFonts w:ascii="Candara" w:hAnsi="Candara"/>
                <w:b/>
              </w:rPr>
            </w:pPr>
            <w:r>
              <w:rPr>
                <w:rFonts w:ascii="Candara" w:hAnsi="Candara"/>
                <w:b/>
              </w:rPr>
              <w:t>70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073F94"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EE1" w:rsidRDefault="00F35EE1" w:rsidP="00864926">
      <w:pPr>
        <w:spacing w:after="0" w:line="240" w:lineRule="auto"/>
      </w:pPr>
      <w:r>
        <w:separator/>
      </w:r>
    </w:p>
  </w:endnote>
  <w:endnote w:type="continuationSeparator" w:id="0">
    <w:p w:rsidR="00F35EE1" w:rsidRDefault="00F35EE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EE1" w:rsidRDefault="00F35EE1" w:rsidP="00864926">
      <w:pPr>
        <w:spacing w:after="0" w:line="240" w:lineRule="auto"/>
      </w:pPr>
      <w:r>
        <w:separator/>
      </w:r>
    </w:p>
  </w:footnote>
  <w:footnote w:type="continuationSeparator" w:id="0">
    <w:p w:rsidR="00F35EE1" w:rsidRDefault="00F35EE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73F94"/>
    <w:rsid w:val="000F6001"/>
    <w:rsid w:val="001D3BF1"/>
    <w:rsid w:val="001D64D3"/>
    <w:rsid w:val="001F14FA"/>
    <w:rsid w:val="001F60E3"/>
    <w:rsid w:val="002319B6"/>
    <w:rsid w:val="002D45A5"/>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35EE1"/>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D8DDC-122B-4845-99B7-209CCF12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2</cp:revision>
  <cp:lastPrinted>2015-12-23T11:47:00Z</cp:lastPrinted>
  <dcterms:created xsi:type="dcterms:W3CDTF">2016-04-19T12:18:00Z</dcterms:created>
  <dcterms:modified xsi:type="dcterms:W3CDTF">2016-04-19T12:18:00Z</dcterms:modified>
</cp:coreProperties>
</file>