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720663">
            <w:pPr>
              <w:spacing w:before="180" w:after="18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720663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720663">
            <w:pPr>
              <w:spacing w:before="80" w:after="8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720663">
            <w:pPr>
              <w:spacing w:before="80" w:after="8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720663">
            <w:pPr>
              <w:suppressAutoHyphens w:val="0"/>
              <w:spacing w:before="80" w:after="8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C220A6">
            <w:pPr>
              <w:spacing w:beforeLines="80" w:afterLines="8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C17044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107D0" w:rsidP="006107D0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107D0">
              <w:rPr>
                <w:rFonts w:ascii="Candara" w:hAnsi="Candara"/>
              </w:rPr>
              <w:t xml:space="preserve">Selected Topics </w:t>
            </w:r>
            <w:r>
              <w:rPr>
                <w:rFonts w:ascii="Candara" w:hAnsi="Candara"/>
              </w:rPr>
              <w:t>i</w:t>
            </w:r>
            <w:r w:rsidRPr="006107D0">
              <w:rPr>
                <w:rFonts w:ascii="Candara" w:hAnsi="Candara"/>
              </w:rPr>
              <w:t>n Welding Technologies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F2000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3920173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F2000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F2000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3920172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F2000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920174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F2000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3920175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720663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F2000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3920176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F2000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3920177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457405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C17044" w:rsidRDefault="00C220A6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6107D0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17044">
              <w:rPr>
                <w:rFonts w:ascii="Candara" w:hAnsi="Candara"/>
              </w:rPr>
              <w:t xml:space="preserve">Miroslav M. </w:t>
            </w:r>
            <w:proofErr w:type="spellStart"/>
            <w:r w:rsidRPr="00C17044">
              <w:rPr>
                <w:rFonts w:ascii="Candara" w:hAnsi="Candara"/>
              </w:rPr>
              <w:t>Mijajlović</w:t>
            </w:r>
            <w:proofErr w:type="spellEnd"/>
            <w:r w:rsidR="00C17044" w:rsidRPr="00C17044">
              <w:rPr>
                <w:rFonts w:ascii="Candara" w:hAnsi="Candara"/>
              </w:rPr>
              <w:t xml:space="preserve">, </w:t>
            </w:r>
            <w:proofErr w:type="spellStart"/>
            <w:r w:rsidR="006107D0" w:rsidRPr="00C17044">
              <w:rPr>
                <w:rFonts w:ascii="Candara" w:hAnsi="Candara"/>
              </w:rPr>
              <w:t>Dragan</w:t>
            </w:r>
            <w:proofErr w:type="spellEnd"/>
            <w:r w:rsidR="006107D0" w:rsidRPr="00C17044">
              <w:rPr>
                <w:rFonts w:ascii="Candara" w:hAnsi="Candara"/>
              </w:rPr>
              <w:t xml:space="preserve"> S. </w:t>
            </w:r>
            <w:proofErr w:type="spellStart"/>
            <w:r w:rsidR="006107D0" w:rsidRPr="00C17044">
              <w:rPr>
                <w:rFonts w:ascii="Candara" w:hAnsi="Candara"/>
              </w:rPr>
              <w:t>Milčić</w:t>
            </w:r>
            <w:proofErr w:type="spellEnd"/>
            <w:r w:rsidR="006107D0" w:rsidRPr="00C17044">
              <w:rPr>
                <w:rFonts w:ascii="Candara" w:hAnsi="Candara"/>
              </w:rPr>
              <w:t xml:space="preserve">, </w:t>
            </w:r>
            <w:proofErr w:type="spellStart"/>
            <w:r w:rsidR="006107D0">
              <w:rPr>
                <w:rFonts w:ascii="Candara" w:hAnsi="Candara"/>
              </w:rPr>
              <w:t>Dušan</w:t>
            </w:r>
            <w:proofErr w:type="spellEnd"/>
            <w:r w:rsidR="006107D0">
              <w:rPr>
                <w:rFonts w:ascii="Candara" w:hAnsi="Candara"/>
              </w:rPr>
              <w:t xml:space="preserve"> S. </w:t>
            </w:r>
            <w:proofErr w:type="spellStart"/>
            <w:r w:rsidR="006107D0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B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F2000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FD5012" w:rsidP="00182679">
            <w:pPr>
              <w:spacing w:before="80" w:after="80" w:line="240" w:lineRule="auto"/>
              <w:ind w:left="57"/>
              <w:rPr>
                <w:rFonts w:ascii="Candara" w:hAnsi="Candara"/>
                <w:i/>
              </w:rPr>
            </w:pPr>
            <w:r w:rsidRPr="00FD5012">
              <w:rPr>
                <w:rFonts w:ascii="Candara" w:hAnsi="Candara"/>
                <w:i/>
              </w:rPr>
              <w:t>Adopted kn</w:t>
            </w:r>
            <w:r>
              <w:rPr>
                <w:rFonts w:ascii="Candara" w:hAnsi="Candara"/>
                <w:i/>
              </w:rPr>
              <w:t xml:space="preserve">owledge in welding technologies; </w:t>
            </w:r>
            <w:r w:rsidRPr="00FD5012">
              <w:rPr>
                <w:rFonts w:ascii="Candara" w:hAnsi="Candara"/>
                <w:i/>
              </w:rPr>
              <w:t>To know-how and why to use specified parameters for welding technologies also to investigate their</w:t>
            </w:r>
            <w:r>
              <w:rPr>
                <w:rFonts w:ascii="Candara" w:hAnsi="Candara"/>
                <w:i/>
              </w:rPr>
              <w:t xml:space="preserve"> influence on welded structures; </w:t>
            </w:r>
            <w:r w:rsidRPr="00FD5012">
              <w:rPr>
                <w:rFonts w:ascii="Candara" w:hAnsi="Candara"/>
                <w:i/>
              </w:rPr>
              <w:t>Application of adopted knowledge and skills on specified topics.</w:t>
            </w:r>
          </w:p>
        </w:tc>
      </w:tr>
      <w:tr w:rsidR="00E857F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34CB9" w:rsidP="00182679">
            <w:pPr>
              <w:tabs>
                <w:tab w:val="left" w:pos="360"/>
              </w:tabs>
              <w:spacing w:before="80" w:after="80" w:line="240" w:lineRule="auto"/>
              <w:ind w:left="57"/>
              <w:rPr>
                <w:rFonts w:ascii="Candara" w:hAnsi="Candara"/>
              </w:rPr>
            </w:pPr>
            <w:r w:rsidRPr="00734CB9">
              <w:rPr>
                <w:rFonts w:ascii="Candara" w:hAnsi="Candara"/>
              </w:rPr>
              <w:t xml:space="preserve">1) </w:t>
            </w:r>
            <w:r w:rsidR="00BE2BA6" w:rsidRPr="00BE2BA6">
              <w:rPr>
                <w:rFonts w:ascii="Candara" w:hAnsi="Candara"/>
              </w:rPr>
              <w:t>Basics of welding technologies. Theoretical and realistic model of the welding process, application field of welding technologies, power supplies for arc-based welding technologies, FEA in welding technologies</w:t>
            </w:r>
            <w:r w:rsidR="00BE2BA6">
              <w:rPr>
                <w:rFonts w:ascii="Candara" w:hAnsi="Candara"/>
              </w:rPr>
              <w:t xml:space="preserve">, 2) </w:t>
            </w:r>
            <w:r w:rsidR="00BE2BA6" w:rsidRPr="00BE2BA6">
              <w:rPr>
                <w:rFonts w:ascii="Candara" w:hAnsi="Candara"/>
              </w:rPr>
              <w:t>Conventional welding technologies</w:t>
            </w:r>
            <w:r w:rsidR="00BE2BA6">
              <w:rPr>
                <w:rFonts w:ascii="Candara" w:hAnsi="Candara"/>
              </w:rPr>
              <w:t>,</w:t>
            </w:r>
            <w:r w:rsidR="00BE2BA6" w:rsidRPr="00BE2BA6">
              <w:rPr>
                <w:rFonts w:ascii="Candara" w:hAnsi="Candara"/>
              </w:rPr>
              <w:t xml:space="preserve"> Manual metal arc welding, Shielded Metal Arc Welding, Tungsten Inert Gas Welding, Submerged Metal Arc Welding, Ox</w:t>
            </w:r>
            <w:r w:rsidR="00BE2BA6">
              <w:rPr>
                <w:rFonts w:ascii="Candara" w:hAnsi="Candara"/>
              </w:rPr>
              <w:t xml:space="preserve">y-fuel Welding technologies etc, 3) </w:t>
            </w:r>
            <w:r w:rsidR="00BE2BA6" w:rsidRPr="00BE2BA6">
              <w:rPr>
                <w:rFonts w:ascii="Candara" w:hAnsi="Candara"/>
              </w:rPr>
              <w:t>Nonconventional welding technologies</w:t>
            </w:r>
            <w:r w:rsidR="00BE2BA6">
              <w:rPr>
                <w:rFonts w:ascii="Candara" w:hAnsi="Candara"/>
              </w:rPr>
              <w:t xml:space="preserve">, 4) </w:t>
            </w:r>
            <w:r w:rsidR="00BE2BA6" w:rsidRPr="00BE2BA6">
              <w:rPr>
                <w:rFonts w:ascii="Candara" w:hAnsi="Candara"/>
              </w:rPr>
              <w:t xml:space="preserve">Fully </w:t>
            </w:r>
            <w:proofErr w:type="spellStart"/>
            <w:r w:rsidR="00BE2BA6" w:rsidRPr="00BE2BA6">
              <w:rPr>
                <w:rFonts w:ascii="Candara" w:hAnsi="Candara"/>
              </w:rPr>
              <w:t>automa</w:t>
            </w:r>
            <w:r w:rsidR="00BE2BA6">
              <w:rPr>
                <w:rFonts w:ascii="Candara" w:hAnsi="Candara"/>
              </w:rPr>
              <w:t>tized</w:t>
            </w:r>
            <w:proofErr w:type="spellEnd"/>
            <w:r w:rsidR="00BE2BA6">
              <w:rPr>
                <w:rFonts w:ascii="Candara" w:hAnsi="Candara"/>
              </w:rPr>
              <w:t xml:space="preserve"> technologies and robotics, 5) </w:t>
            </w:r>
            <w:r w:rsidR="00BE2BA6" w:rsidRPr="00BE2BA6">
              <w:rPr>
                <w:rFonts w:ascii="Candara" w:hAnsi="Candara"/>
              </w:rPr>
              <w:t>Welding of polymers. Welding of ce</w:t>
            </w:r>
            <w:r w:rsidR="00BE2BA6">
              <w:rPr>
                <w:rFonts w:ascii="Candara" w:hAnsi="Candara"/>
              </w:rPr>
              <w:t xml:space="preserve">ramics and composite materials, 6) </w:t>
            </w:r>
            <w:r w:rsidR="00BE2BA6" w:rsidRPr="00BE2BA6">
              <w:rPr>
                <w:rFonts w:ascii="Candara" w:hAnsi="Candara"/>
              </w:rPr>
              <w:t>Reparatory welding</w:t>
            </w:r>
            <w:r w:rsidR="00BE2BA6">
              <w:rPr>
                <w:rFonts w:ascii="Candara" w:hAnsi="Candara"/>
              </w:rPr>
              <w:t xml:space="preserve">, </w:t>
            </w:r>
            <w:r w:rsidR="00BE2BA6" w:rsidRPr="00BE2BA6">
              <w:rPr>
                <w:rFonts w:ascii="Candara" w:hAnsi="Candara"/>
              </w:rPr>
              <w:t>Spraying and hard facing</w:t>
            </w:r>
            <w:r w:rsidR="00BE2BA6">
              <w:rPr>
                <w:rFonts w:ascii="Candara" w:hAnsi="Candara"/>
              </w:rPr>
              <w:t xml:space="preserve">, </w:t>
            </w:r>
            <w:r w:rsidR="00BE2BA6" w:rsidRPr="00BE2BA6">
              <w:rPr>
                <w:rFonts w:ascii="Candara" w:hAnsi="Candara"/>
              </w:rPr>
              <w:t>Metal</w:t>
            </w:r>
            <w:r w:rsidR="00BE2BA6">
              <w:rPr>
                <w:rFonts w:ascii="Candara" w:hAnsi="Candara"/>
              </w:rPr>
              <w:t xml:space="preserve">lization, Special technologies, 7) </w:t>
            </w:r>
            <w:r w:rsidR="00BE2BA6" w:rsidRPr="00BE2BA6">
              <w:rPr>
                <w:rFonts w:ascii="Candara" w:hAnsi="Candara"/>
              </w:rPr>
              <w:t>Investigation of welded joints</w:t>
            </w:r>
            <w:r w:rsidR="00BE2BA6">
              <w:rPr>
                <w:rFonts w:ascii="Candara" w:hAnsi="Candara"/>
              </w:rPr>
              <w:t xml:space="preserve">, 8) </w:t>
            </w:r>
            <w:r w:rsidR="00BE2BA6" w:rsidRPr="00BE2BA6">
              <w:rPr>
                <w:rFonts w:ascii="Candara" w:hAnsi="Candara"/>
              </w:rPr>
              <w:t>Phenome</w:t>
            </w:r>
            <w:r w:rsidR="00BE2BA6">
              <w:rPr>
                <w:rFonts w:ascii="Candara" w:hAnsi="Candara"/>
              </w:rPr>
              <w:t xml:space="preserve">na of cracking in welded joints, 9) </w:t>
            </w:r>
            <w:r w:rsidR="00BE2BA6" w:rsidRPr="00BE2BA6">
              <w:rPr>
                <w:rFonts w:ascii="Candara" w:hAnsi="Candara"/>
              </w:rPr>
              <w:t>Health and safety while welding. Standards and regulations.</w:t>
            </w:r>
          </w:p>
        </w:tc>
      </w:tr>
      <w:tr w:rsidR="001D3BF1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F2000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F2000" w:rsidP="00CC560A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CC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F2000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F2000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F2000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720663">
            <w:pPr>
              <w:spacing w:before="12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82679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C560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2679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720663" w:rsidRDefault="001F14FA" w:rsidP="00720663">
      <w:pPr>
        <w:spacing w:after="0" w:line="240" w:lineRule="auto"/>
        <w:ind w:left="1089"/>
        <w:rPr>
          <w:sz w:val="2"/>
          <w:szCs w:val="2"/>
        </w:rPr>
      </w:pPr>
    </w:p>
    <w:sectPr w:rsidR="001F14FA" w:rsidRPr="00720663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B5" w:rsidRDefault="00D31BB5" w:rsidP="00864926">
      <w:pPr>
        <w:spacing w:after="0" w:line="240" w:lineRule="auto"/>
      </w:pPr>
      <w:r>
        <w:separator/>
      </w:r>
    </w:p>
  </w:endnote>
  <w:endnote w:type="continuationSeparator" w:id="0">
    <w:p w:rsidR="00D31BB5" w:rsidRDefault="00D31B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B5" w:rsidRDefault="00D31BB5" w:rsidP="00864926">
      <w:pPr>
        <w:spacing w:after="0" w:line="240" w:lineRule="auto"/>
      </w:pPr>
      <w:r>
        <w:separator/>
      </w:r>
    </w:p>
  </w:footnote>
  <w:footnote w:type="continuationSeparator" w:id="0">
    <w:p w:rsidR="00D31BB5" w:rsidRDefault="00D31B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1ABB"/>
    <w:rsid w:val="00021A06"/>
    <w:rsid w:val="00033AAA"/>
    <w:rsid w:val="000460D0"/>
    <w:rsid w:val="00061157"/>
    <w:rsid w:val="0008591A"/>
    <w:rsid w:val="00090B78"/>
    <w:rsid w:val="000E4AF2"/>
    <w:rsid w:val="000F6001"/>
    <w:rsid w:val="000F7CD3"/>
    <w:rsid w:val="00182679"/>
    <w:rsid w:val="001C53ED"/>
    <w:rsid w:val="001D3BF1"/>
    <w:rsid w:val="001D64D3"/>
    <w:rsid w:val="001F14FA"/>
    <w:rsid w:val="001F60E3"/>
    <w:rsid w:val="002319B6"/>
    <w:rsid w:val="002B5A71"/>
    <w:rsid w:val="002F2000"/>
    <w:rsid w:val="002F41B8"/>
    <w:rsid w:val="00315601"/>
    <w:rsid w:val="00323176"/>
    <w:rsid w:val="00324B35"/>
    <w:rsid w:val="003912B6"/>
    <w:rsid w:val="003B27A8"/>
    <w:rsid w:val="003B32A9"/>
    <w:rsid w:val="003C177A"/>
    <w:rsid w:val="003D0FAB"/>
    <w:rsid w:val="003E3744"/>
    <w:rsid w:val="00406F80"/>
    <w:rsid w:val="00431EFA"/>
    <w:rsid w:val="00457405"/>
    <w:rsid w:val="0046064C"/>
    <w:rsid w:val="00493925"/>
    <w:rsid w:val="004D1C7E"/>
    <w:rsid w:val="004E562D"/>
    <w:rsid w:val="005671B3"/>
    <w:rsid w:val="00590B22"/>
    <w:rsid w:val="005A2ABF"/>
    <w:rsid w:val="005A5D38"/>
    <w:rsid w:val="005B0885"/>
    <w:rsid w:val="005B64BF"/>
    <w:rsid w:val="005C3189"/>
    <w:rsid w:val="005C6548"/>
    <w:rsid w:val="005C7DC4"/>
    <w:rsid w:val="005D46D7"/>
    <w:rsid w:val="00603117"/>
    <w:rsid w:val="006107D0"/>
    <w:rsid w:val="0069043C"/>
    <w:rsid w:val="00697543"/>
    <w:rsid w:val="006A4CC1"/>
    <w:rsid w:val="006E40AE"/>
    <w:rsid w:val="006F647C"/>
    <w:rsid w:val="007140AA"/>
    <w:rsid w:val="00720663"/>
    <w:rsid w:val="00734CB9"/>
    <w:rsid w:val="00783C57"/>
    <w:rsid w:val="00792CB4"/>
    <w:rsid w:val="007F1928"/>
    <w:rsid w:val="00815C91"/>
    <w:rsid w:val="00860979"/>
    <w:rsid w:val="00864926"/>
    <w:rsid w:val="008A30CE"/>
    <w:rsid w:val="008B1D6B"/>
    <w:rsid w:val="008C31B7"/>
    <w:rsid w:val="008D39C3"/>
    <w:rsid w:val="00911529"/>
    <w:rsid w:val="00924713"/>
    <w:rsid w:val="00932B21"/>
    <w:rsid w:val="00971E55"/>
    <w:rsid w:val="00972302"/>
    <w:rsid w:val="009763DC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6711D"/>
    <w:rsid w:val="00B72532"/>
    <w:rsid w:val="00B9521A"/>
    <w:rsid w:val="00BA6985"/>
    <w:rsid w:val="00BD3504"/>
    <w:rsid w:val="00BD7D0B"/>
    <w:rsid w:val="00BE2BA6"/>
    <w:rsid w:val="00BF0C9E"/>
    <w:rsid w:val="00C0099F"/>
    <w:rsid w:val="00C17044"/>
    <w:rsid w:val="00C220A6"/>
    <w:rsid w:val="00C63234"/>
    <w:rsid w:val="00C63851"/>
    <w:rsid w:val="00CA6D81"/>
    <w:rsid w:val="00CC23C3"/>
    <w:rsid w:val="00CC560A"/>
    <w:rsid w:val="00CD17F1"/>
    <w:rsid w:val="00CE60AF"/>
    <w:rsid w:val="00CE7883"/>
    <w:rsid w:val="00D1367C"/>
    <w:rsid w:val="00D31BB5"/>
    <w:rsid w:val="00D4378D"/>
    <w:rsid w:val="00D92F39"/>
    <w:rsid w:val="00DB2C30"/>
    <w:rsid w:val="00DB43CC"/>
    <w:rsid w:val="00DB43E0"/>
    <w:rsid w:val="00E1222F"/>
    <w:rsid w:val="00E17FC5"/>
    <w:rsid w:val="00E47B95"/>
    <w:rsid w:val="00E5013A"/>
    <w:rsid w:val="00E60599"/>
    <w:rsid w:val="00E71A0B"/>
    <w:rsid w:val="00E75668"/>
    <w:rsid w:val="00E76D77"/>
    <w:rsid w:val="00E8188A"/>
    <w:rsid w:val="00E857F8"/>
    <w:rsid w:val="00EA7E0C"/>
    <w:rsid w:val="00EC53EE"/>
    <w:rsid w:val="00F06AFA"/>
    <w:rsid w:val="00F237EB"/>
    <w:rsid w:val="00F23D01"/>
    <w:rsid w:val="00F32CFA"/>
    <w:rsid w:val="00F540C4"/>
    <w:rsid w:val="00F56373"/>
    <w:rsid w:val="00F742D3"/>
    <w:rsid w:val="00FD474F"/>
    <w:rsid w:val="00FD5012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B7B5-539F-44C4-B4CD-D763AEA7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6</cp:revision>
  <cp:lastPrinted>2015-12-23T11:47:00Z</cp:lastPrinted>
  <dcterms:created xsi:type="dcterms:W3CDTF">2016-04-04T11:41:00Z</dcterms:created>
  <dcterms:modified xsi:type="dcterms:W3CDTF">2016-04-04T18:59:00Z</dcterms:modified>
</cp:coreProperties>
</file>