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749" w:type="dxa"/>
        <w:tblInd w:w="-432" w:type="dxa"/>
        <w:tblLook w:val="04A0" w:firstRow="1" w:lastRow="0" w:firstColumn="1" w:lastColumn="0" w:noHBand="0" w:noVBand="1"/>
      </w:tblPr>
      <w:tblGrid>
        <w:gridCol w:w="2481"/>
        <w:gridCol w:w="1320"/>
        <w:gridCol w:w="443"/>
        <w:gridCol w:w="361"/>
        <w:gridCol w:w="2742"/>
        <w:gridCol w:w="1976"/>
        <w:gridCol w:w="1426"/>
      </w:tblGrid>
      <w:tr w:rsidR="00CD17F1" w:rsidRPr="00B54668" w14:paraId="158F0B29" w14:textId="77777777" w:rsidTr="00370212">
        <w:trPr>
          <w:trHeight w:val="982"/>
        </w:trPr>
        <w:tc>
          <w:tcPr>
            <w:tcW w:w="10749" w:type="dxa"/>
            <w:gridSpan w:val="7"/>
            <w:tcBorders>
              <w:top w:val="double" w:sz="4" w:space="0" w:color="auto"/>
              <w:left w:val="double" w:sz="4" w:space="0" w:color="auto"/>
              <w:bottom w:val="double" w:sz="4" w:space="0" w:color="auto"/>
              <w:right w:val="double" w:sz="4" w:space="0" w:color="auto"/>
            </w:tcBorders>
            <w:vAlign w:val="center"/>
          </w:tcPr>
          <w:p w14:paraId="02CBFCFC" w14:textId="7F0605ED" w:rsidR="00CD17F1" w:rsidRDefault="00CD17F1" w:rsidP="00370212">
            <w:pPr>
              <w:spacing w:line="240" w:lineRule="auto"/>
              <w:rPr>
                <w:rFonts w:ascii="Candara" w:hAnsi="Candara"/>
                <w:b/>
                <w:sz w:val="36"/>
                <w:szCs w:val="36"/>
              </w:rPr>
            </w:pPr>
            <w:r w:rsidRPr="00CA6D81">
              <w:rPr>
                <w:noProof/>
                <w:lang w:eastAsia="en-GB"/>
              </w:rPr>
              <w:drawing>
                <wp:inline distT="0" distB="0" distL="0" distR="0" wp14:anchorId="601E52FA" wp14:editId="2D6E858C">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737" cy="556662"/>
                          </a:xfrm>
                          <a:prstGeom prst="rect">
                            <a:avLst/>
                          </a:prstGeom>
                          <a:noFill/>
                          <a:ln>
                            <a:noFill/>
                          </a:ln>
                        </pic:spPr>
                      </pic:pic>
                    </a:graphicData>
                  </a:graphic>
                </wp:inline>
              </w:drawing>
            </w:r>
            <w:r w:rsidR="00370212">
              <w:rPr>
                <w:rFonts w:ascii="Candara" w:hAnsi="Candara"/>
                <w:b/>
                <w:sz w:val="36"/>
                <w:szCs w:val="36"/>
              </w:rPr>
              <w:tab/>
            </w:r>
            <w:r w:rsidR="00370212">
              <w:rPr>
                <w:rFonts w:ascii="Candara" w:hAnsi="Candara"/>
                <w:b/>
                <w:sz w:val="36"/>
                <w:szCs w:val="36"/>
              </w:rPr>
              <w:tab/>
            </w:r>
            <w:r w:rsidR="00370212">
              <w:rPr>
                <w:rFonts w:ascii="Candara" w:hAnsi="Candara"/>
                <w:b/>
                <w:sz w:val="36"/>
                <w:szCs w:val="36"/>
              </w:rPr>
              <w:tab/>
            </w:r>
            <w:r w:rsidR="00370212">
              <w:rPr>
                <w:rFonts w:ascii="Candara" w:hAnsi="Candara"/>
                <w:b/>
                <w:sz w:val="36"/>
                <w:szCs w:val="36"/>
              </w:rPr>
              <w:tab/>
              <w:t xml:space="preserve">  </w:t>
            </w:r>
            <w:r>
              <w:rPr>
                <w:rFonts w:ascii="Candara" w:hAnsi="Candara"/>
                <w:b/>
                <w:sz w:val="36"/>
                <w:szCs w:val="36"/>
              </w:rPr>
              <w:t>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37021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2A6FAF82" w:rsidR="00CD17F1" w:rsidRPr="00B54668" w:rsidRDefault="00370212" w:rsidP="00370212">
            <w:pPr>
              <w:spacing w:line="240" w:lineRule="auto"/>
              <w:contextualSpacing/>
              <w:jc w:val="left"/>
              <w:rPr>
                <w:rFonts w:ascii="Candara" w:hAnsi="Candara"/>
                <w:b/>
                <w:sz w:val="36"/>
                <w:szCs w:val="36"/>
              </w:rPr>
            </w:pPr>
            <w:r>
              <w:rPr>
                <w:rFonts w:ascii="Candara" w:hAnsi="Candara"/>
                <w:b/>
                <w:sz w:val="36"/>
                <w:szCs w:val="36"/>
              </w:rPr>
              <w:t xml:space="preserve">Course </w:t>
            </w:r>
            <w:r w:rsidR="00CD17F1">
              <w:rPr>
                <w:rFonts w:ascii="Candara" w:hAnsi="Candara"/>
                <w:b/>
                <w:sz w:val="36"/>
                <w:szCs w:val="36"/>
              </w:rPr>
              <w:t xml:space="preserve">Unit </w:t>
            </w:r>
            <w:r w:rsidR="00CD17F1" w:rsidRPr="00B54668">
              <w:rPr>
                <w:rFonts w:ascii="Candara" w:hAnsi="Candara"/>
                <w:b/>
                <w:sz w:val="36"/>
                <w:szCs w:val="36"/>
              </w:rPr>
              <w:t>Descriptor</w:t>
            </w:r>
          </w:p>
        </w:tc>
        <w:tc>
          <w:tcPr>
            <w:tcW w:w="354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429E7779"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r w:rsidR="00370212">
              <w:rPr>
                <w:rFonts w:ascii="Candara" w:hAnsi="Candara"/>
                <w:b/>
                <w:color w:val="548DD4" w:themeColor="text2" w:themeTint="99"/>
                <w:sz w:val="36"/>
                <w:szCs w:val="36"/>
              </w:rPr>
              <w:t>o</w:t>
            </w:r>
            <w:bookmarkStart w:id="0" w:name="_GoBack"/>
            <w:bookmarkEnd w:id="0"/>
            <w:r w:rsidR="00370212">
              <w:rPr>
                <w:rFonts w:ascii="Candara" w:hAnsi="Candara"/>
                <w:b/>
                <w:color w:val="548DD4" w:themeColor="text2" w:themeTint="99"/>
                <w:sz w:val="36"/>
                <w:szCs w:val="36"/>
              </w:rPr>
              <w:t>f Philosophy</w:t>
            </w:r>
            <w:r w:rsidRPr="00E47B95">
              <w:rPr>
                <w:rFonts w:ascii="Candara" w:hAnsi="Candara"/>
                <w:b/>
                <w:color w:val="548DD4" w:themeColor="text2" w:themeTint="99"/>
                <w:sz w:val="36"/>
                <w:szCs w:val="36"/>
              </w:rPr>
              <w:t xml:space="preserve">              </w:t>
            </w:r>
          </w:p>
        </w:tc>
        <w:tc>
          <w:tcPr>
            <w:tcW w:w="3402"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7777777" w:rsidR="00CD17F1" w:rsidRPr="00B54668" w:rsidRDefault="00CD17F1">
            <w:pPr>
              <w:suppressAutoHyphens w:val="0"/>
              <w:spacing w:after="200" w:line="276" w:lineRule="auto"/>
              <w:jc w:val="left"/>
              <w:rPr>
                <w:rFonts w:ascii="Candara" w:hAnsi="Candara"/>
              </w:rPr>
            </w:pPr>
          </w:p>
        </w:tc>
      </w:tr>
      <w:tr w:rsidR="009906EA" w:rsidRPr="00B54668" w14:paraId="06C24D4F" w14:textId="77777777" w:rsidTr="00370212">
        <w:trPr>
          <w:trHeight w:val="529"/>
        </w:trPr>
        <w:tc>
          <w:tcPr>
            <w:tcW w:w="10749"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370212">
        <w:trPr>
          <w:trHeight w:val="562"/>
        </w:trPr>
        <w:tc>
          <w:tcPr>
            <w:tcW w:w="4605"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144" w:type="dxa"/>
            <w:gridSpan w:val="3"/>
            <w:shd w:val="clear" w:color="auto" w:fill="auto"/>
            <w:vAlign w:val="center"/>
          </w:tcPr>
          <w:p w14:paraId="4C656112" w14:textId="0406215C" w:rsidR="00864926" w:rsidRPr="00B54668" w:rsidRDefault="0037021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Language and Literature</w:t>
            </w:r>
          </w:p>
        </w:tc>
      </w:tr>
      <w:tr w:rsidR="00864926" w:rsidRPr="00B54668" w14:paraId="5B0C776F" w14:textId="77777777" w:rsidTr="00370212">
        <w:trPr>
          <w:trHeight w:val="562"/>
        </w:trPr>
        <w:tc>
          <w:tcPr>
            <w:tcW w:w="4605"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144" w:type="dxa"/>
            <w:gridSpan w:val="3"/>
            <w:vAlign w:val="center"/>
          </w:tcPr>
          <w:p w14:paraId="2C693469" w14:textId="7A3A7433" w:rsidR="00864926" w:rsidRPr="00B54668" w:rsidRDefault="00370212" w:rsidP="00E857F8">
            <w:pPr>
              <w:spacing w:line="240" w:lineRule="auto"/>
              <w:contextualSpacing/>
              <w:jc w:val="left"/>
              <w:rPr>
                <w:rFonts w:ascii="Candara" w:hAnsi="Candara"/>
              </w:rPr>
            </w:pPr>
            <w:r>
              <w:rPr>
                <w:rFonts w:ascii="Candara" w:hAnsi="Candara"/>
              </w:rPr>
              <w:t>-</w:t>
            </w:r>
          </w:p>
        </w:tc>
      </w:tr>
      <w:tr w:rsidR="00B50491" w:rsidRPr="00B54668" w14:paraId="073B0617" w14:textId="77777777" w:rsidTr="00370212">
        <w:trPr>
          <w:trHeight w:val="562"/>
        </w:trPr>
        <w:tc>
          <w:tcPr>
            <w:tcW w:w="4605"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144" w:type="dxa"/>
            <w:gridSpan w:val="3"/>
            <w:vAlign w:val="center"/>
          </w:tcPr>
          <w:p w14:paraId="4F9AF878" w14:textId="47DD7746" w:rsidR="00B50491" w:rsidRPr="00B54668" w:rsidRDefault="00A3637C" w:rsidP="00E857F8">
            <w:pPr>
              <w:spacing w:line="240" w:lineRule="auto"/>
              <w:contextualSpacing/>
              <w:jc w:val="left"/>
              <w:rPr>
                <w:rFonts w:ascii="Candara" w:hAnsi="Candara"/>
              </w:rPr>
            </w:pPr>
            <w:r>
              <w:rPr>
                <w:rFonts w:ascii="Candara" w:hAnsi="Candara"/>
              </w:rPr>
              <w:t>Consecutive Translation</w:t>
            </w:r>
          </w:p>
        </w:tc>
      </w:tr>
      <w:tr w:rsidR="006F647C" w:rsidRPr="00B54668" w14:paraId="4749D6A1" w14:textId="00142E56" w:rsidTr="00370212">
        <w:trPr>
          <w:trHeight w:val="562"/>
        </w:trPr>
        <w:tc>
          <w:tcPr>
            <w:tcW w:w="4605"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144" w:type="dxa"/>
            <w:gridSpan w:val="3"/>
            <w:vAlign w:val="center"/>
          </w:tcPr>
          <w:p w14:paraId="21423E69" w14:textId="16DAF2F2" w:rsidR="006F647C" w:rsidRPr="00B54668" w:rsidRDefault="00136055"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70212">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370212">
        <w:trPr>
          <w:trHeight w:val="562"/>
        </w:trPr>
        <w:tc>
          <w:tcPr>
            <w:tcW w:w="4605"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144" w:type="dxa"/>
            <w:gridSpan w:val="3"/>
            <w:vAlign w:val="center"/>
          </w:tcPr>
          <w:p w14:paraId="581E09D3" w14:textId="3C1102F4" w:rsidR="00CD17F1" w:rsidRPr="00B54668" w:rsidRDefault="00136055"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5C46C9">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C46C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370212">
        <w:trPr>
          <w:trHeight w:val="562"/>
        </w:trPr>
        <w:tc>
          <w:tcPr>
            <w:tcW w:w="4605"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144" w:type="dxa"/>
            <w:gridSpan w:val="3"/>
            <w:vAlign w:val="center"/>
          </w:tcPr>
          <w:p w14:paraId="681596C8" w14:textId="68A6E4FC" w:rsidR="00864926" w:rsidRPr="00B54668" w:rsidRDefault="00136055"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370212">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370212">
        <w:trPr>
          <w:trHeight w:val="562"/>
        </w:trPr>
        <w:tc>
          <w:tcPr>
            <w:tcW w:w="4605"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144" w:type="dxa"/>
            <w:gridSpan w:val="3"/>
            <w:tcBorders>
              <w:bottom w:val="single" w:sz="4" w:space="0" w:color="auto"/>
            </w:tcBorders>
            <w:vAlign w:val="center"/>
          </w:tcPr>
          <w:p w14:paraId="31811BFD" w14:textId="14047447" w:rsidR="00864926" w:rsidRPr="00B54668" w:rsidRDefault="00A3637C"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370212">
        <w:trPr>
          <w:trHeight w:val="562"/>
        </w:trPr>
        <w:tc>
          <w:tcPr>
            <w:tcW w:w="4605"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144" w:type="dxa"/>
            <w:gridSpan w:val="3"/>
            <w:tcBorders>
              <w:bottom w:val="single" w:sz="4" w:space="0" w:color="auto"/>
            </w:tcBorders>
            <w:vAlign w:val="center"/>
          </w:tcPr>
          <w:p w14:paraId="7233D283" w14:textId="2AE23201" w:rsidR="00A1335D" w:rsidRPr="00B54668" w:rsidRDefault="005C46C9" w:rsidP="00E857F8">
            <w:pPr>
              <w:spacing w:line="240" w:lineRule="auto"/>
              <w:contextualSpacing/>
              <w:jc w:val="left"/>
              <w:rPr>
                <w:rFonts w:ascii="Candara" w:hAnsi="Candara"/>
              </w:rPr>
            </w:pPr>
            <w:r>
              <w:rPr>
                <w:rFonts w:ascii="Candara" w:hAnsi="Candara"/>
              </w:rPr>
              <w:t>3</w:t>
            </w:r>
            <w:r w:rsidR="00370212">
              <w:rPr>
                <w:rFonts w:ascii="Candara" w:hAnsi="Candara"/>
              </w:rPr>
              <w:t xml:space="preserve"> ECTS</w:t>
            </w:r>
          </w:p>
        </w:tc>
      </w:tr>
      <w:tr w:rsidR="00E857F8" w:rsidRPr="00B54668" w14:paraId="38BC7703" w14:textId="77777777" w:rsidTr="00370212">
        <w:trPr>
          <w:trHeight w:val="562"/>
        </w:trPr>
        <w:tc>
          <w:tcPr>
            <w:tcW w:w="4605"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144" w:type="dxa"/>
            <w:gridSpan w:val="3"/>
            <w:tcBorders>
              <w:bottom w:val="single" w:sz="4" w:space="0" w:color="auto"/>
            </w:tcBorders>
            <w:vAlign w:val="center"/>
          </w:tcPr>
          <w:p w14:paraId="1CC7D17D" w14:textId="530678F2" w:rsidR="00370212" w:rsidRPr="00B54668" w:rsidRDefault="00370212" w:rsidP="005C46C9">
            <w:pPr>
              <w:spacing w:line="240" w:lineRule="auto"/>
              <w:contextualSpacing/>
              <w:jc w:val="left"/>
              <w:rPr>
                <w:rFonts w:ascii="Candara" w:hAnsi="Candara"/>
              </w:rPr>
            </w:pPr>
            <w:r>
              <w:rPr>
                <w:rFonts w:ascii="Candara" w:hAnsi="Candara"/>
              </w:rPr>
              <w:t>Dušan Stamenković (lectures</w:t>
            </w:r>
            <w:r w:rsidR="005C46C9">
              <w:rPr>
                <w:rFonts w:ascii="Candara" w:hAnsi="Candara"/>
              </w:rPr>
              <w:t xml:space="preserve"> and tutorials</w:t>
            </w:r>
            <w:r>
              <w:rPr>
                <w:rFonts w:ascii="Candara" w:hAnsi="Candara"/>
              </w:rPr>
              <w:t>)</w:t>
            </w:r>
          </w:p>
        </w:tc>
      </w:tr>
      <w:tr w:rsidR="00B50491" w:rsidRPr="00B54668" w14:paraId="53875D0B" w14:textId="77777777" w:rsidTr="00370212">
        <w:trPr>
          <w:trHeight w:val="562"/>
        </w:trPr>
        <w:tc>
          <w:tcPr>
            <w:tcW w:w="4605" w:type="dxa"/>
            <w:gridSpan w:val="4"/>
            <w:tcBorders>
              <w:bottom w:val="single" w:sz="4" w:space="0" w:color="auto"/>
            </w:tcBorders>
            <w:vAlign w:val="center"/>
          </w:tcPr>
          <w:p w14:paraId="53F44337" w14:textId="15AA4136"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144" w:type="dxa"/>
            <w:gridSpan w:val="3"/>
            <w:tcBorders>
              <w:bottom w:val="single" w:sz="4" w:space="0" w:color="auto"/>
            </w:tcBorders>
            <w:vAlign w:val="center"/>
          </w:tcPr>
          <w:p w14:paraId="7A6D4114" w14:textId="504C6076"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7021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370212">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A91CD16"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70212">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370212">
        <w:trPr>
          <w:trHeight w:val="562"/>
        </w:trPr>
        <w:tc>
          <w:tcPr>
            <w:tcW w:w="10749"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370212">
        <w:trPr>
          <w:trHeight w:val="562"/>
        </w:trPr>
        <w:tc>
          <w:tcPr>
            <w:tcW w:w="10749" w:type="dxa"/>
            <w:gridSpan w:val="7"/>
            <w:vAlign w:val="center"/>
          </w:tcPr>
          <w:p w14:paraId="23A6C870" w14:textId="6E4990FD" w:rsidR="00A3637C" w:rsidRPr="00B54668" w:rsidRDefault="0001339F" w:rsidP="00A3637C">
            <w:pPr>
              <w:spacing w:line="240" w:lineRule="auto"/>
              <w:contextualSpacing/>
              <w:jc w:val="left"/>
              <w:rPr>
                <w:rFonts w:ascii="Candara" w:hAnsi="Candara"/>
                <w:i/>
              </w:rPr>
            </w:pPr>
            <w:r>
              <w:rPr>
                <w:rFonts w:ascii="Candara" w:hAnsi="Candara"/>
                <w:i/>
              </w:rPr>
              <w:t xml:space="preserve">The main aim of the course is to prepare the students for consecutive translation in various contexts: courts, conferences, business, state or political meetings, etc. After they complete the course, the students should be able to interpret conversations and speeches of moderate difficulty </w:t>
            </w:r>
            <w:r w:rsidR="00577060">
              <w:rPr>
                <w:rFonts w:ascii="Candara" w:hAnsi="Candara"/>
                <w:i/>
              </w:rPr>
              <w:t xml:space="preserve">(lasting around 30 minutes) </w:t>
            </w:r>
            <w:r>
              <w:rPr>
                <w:rFonts w:ascii="Candara" w:hAnsi="Candara"/>
                <w:i/>
              </w:rPr>
              <w:t xml:space="preserve">from English into Serbian and the other way round. They should also learn the basics of </w:t>
            </w:r>
            <w:r w:rsidR="00577060">
              <w:rPr>
                <w:rFonts w:ascii="Candara" w:hAnsi="Candara"/>
                <w:i/>
              </w:rPr>
              <w:t xml:space="preserve">interpreting theory and </w:t>
            </w:r>
            <w:r w:rsidR="00680ECE">
              <w:rPr>
                <w:rFonts w:ascii="Candara" w:hAnsi="Candara"/>
                <w:i/>
              </w:rPr>
              <w:t>consecutive</w:t>
            </w:r>
            <w:r w:rsidR="00577060">
              <w:rPr>
                <w:rFonts w:ascii="Candara" w:hAnsi="Candara"/>
                <w:i/>
              </w:rPr>
              <w:t xml:space="preserve"> translation techniques. The course is likely to improve not only the students’ spoken performance in both English and Serbian, but also their thinking skills, and speed up their ability to switch between languages. </w:t>
            </w:r>
          </w:p>
        </w:tc>
      </w:tr>
      <w:tr w:rsidR="00E857F8" w:rsidRPr="00B54668" w14:paraId="6D272953" w14:textId="77777777" w:rsidTr="00370212">
        <w:trPr>
          <w:trHeight w:val="562"/>
        </w:trPr>
        <w:tc>
          <w:tcPr>
            <w:tcW w:w="10749"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370212">
        <w:trPr>
          <w:trHeight w:val="562"/>
        </w:trPr>
        <w:tc>
          <w:tcPr>
            <w:tcW w:w="10749" w:type="dxa"/>
            <w:gridSpan w:val="7"/>
            <w:shd w:val="clear" w:color="auto" w:fill="auto"/>
            <w:vAlign w:val="center"/>
          </w:tcPr>
          <w:p w14:paraId="12694A32" w14:textId="77A6F8AA" w:rsidR="00A3637C" w:rsidRPr="00F63917" w:rsidRDefault="00E64413" w:rsidP="00A3637C">
            <w:pPr>
              <w:tabs>
                <w:tab w:val="left" w:pos="360"/>
              </w:tabs>
              <w:spacing w:after="0" w:line="240" w:lineRule="auto"/>
              <w:jc w:val="left"/>
              <w:rPr>
                <w:rFonts w:ascii="Candara" w:hAnsi="Candara"/>
              </w:rPr>
            </w:pPr>
            <w:r>
              <w:rPr>
                <w:rFonts w:ascii="Candara" w:hAnsi="Candara"/>
              </w:rPr>
              <w:t xml:space="preserve">The course starts with similarities and differences between written and oral translation, whereas the latter refers to both consecutive and simultaneous translation, and students learn about the differences between these two. After this, </w:t>
            </w:r>
            <w:r w:rsidR="00680ECE">
              <w:rPr>
                <w:rFonts w:ascii="Candara" w:hAnsi="Candara"/>
              </w:rPr>
              <w:t>the students learn about pros and cons of consecutive interpreting and get prepared for the process. After this, they are encouraged to try out carrying the task in both directions, paying attention to pronunciation, enunciation, diction, and register. Various elements of political, economic, conference, court, media, and informal discourse are then introduced, followed by discussing issues related to grammatical, stylistic, pragmatic, and technical challenges of consecutive interpreting. Finally, the students also learn about public speech in general and the way it is approached in translation.</w:t>
            </w:r>
          </w:p>
        </w:tc>
      </w:tr>
      <w:tr w:rsidR="001D3BF1" w:rsidRPr="00B54668" w14:paraId="48346BDC" w14:textId="77777777" w:rsidTr="00370212">
        <w:trPr>
          <w:trHeight w:val="562"/>
        </w:trPr>
        <w:tc>
          <w:tcPr>
            <w:tcW w:w="10749"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370212">
        <w:trPr>
          <w:trHeight w:val="562"/>
        </w:trPr>
        <w:tc>
          <w:tcPr>
            <w:tcW w:w="10749" w:type="dxa"/>
            <w:gridSpan w:val="7"/>
            <w:shd w:val="clear" w:color="auto" w:fill="auto"/>
            <w:vAlign w:val="center"/>
          </w:tcPr>
          <w:p w14:paraId="12EBA521" w14:textId="47F2CCBD" w:rsidR="001D3BF1" w:rsidRPr="004E562D" w:rsidRDefault="00136055"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370212">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136055"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370212">
        <w:trPr>
          <w:trHeight w:val="562"/>
        </w:trPr>
        <w:tc>
          <w:tcPr>
            <w:tcW w:w="10749"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370212">
        <w:trPr>
          <w:trHeight w:val="562"/>
        </w:trPr>
        <w:tc>
          <w:tcPr>
            <w:tcW w:w="2481"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763"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5079"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1426"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370212">
        <w:trPr>
          <w:trHeight w:val="562"/>
        </w:trPr>
        <w:tc>
          <w:tcPr>
            <w:tcW w:w="2481"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763" w:type="dxa"/>
            <w:gridSpan w:val="2"/>
            <w:shd w:val="clear" w:color="auto" w:fill="auto"/>
            <w:vAlign w:val="center"/>
          </w:tcPr>
          <w:p w14:paraId="22033C2C" w14:textId="08F4C547" w:rsidR="001F14FA" w:rsidRDefault="00A3637C" w:rsidP="00E857F8">
            <w:pPr>
              <w:tabs>
                <w:tab w:val="left" w:pos="360"/>
              </w:tabs>
              <w:spacing w:after="0" w:line="240" w:lineRule="auto"/>
              <w:jc w:val="left"/>
              <w:rPr>
                <w:rFonts w:ascii="Candara" w:hAnsi="Candara"/>
                <w:b/>
              </w:rPr>
            </w:pPr>
            <w:r>
              <w:rPr>
                <w:rFonts w:ascii="Candara" w:hAnsi="Candara"/>
                <w:b/>
              </w:rPr>
              <w:t>-</w:t>
            </w:r>
          </w:p>
        </w:tc>
        <w:tc>
          <w:tcPr>
            <w:tcW w:w="5079"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1426" w:type="dxa"/>
            <w:shd w:val="clear" w:color="auto" w:fill="auto"/>
            <w:vAlign w:val="center"/>
          </w:tcPr>
          <w:p w14:paraId="5F7DC87E" w14:textId="0B05C9C8" w:rsidR="001F14FA" w:rsidRDefault="00315B22" w:rsidP="00E857F8">
            <w:pPr>
              <w:tabs>
                <w:tab w:val="left" w:pos="360"/>
              </w:tabs>
              <w:spacing w:after="0" w:line="240" w:lineRule="auto"/>
              <w:jc w:val="left"/>
              <w:rPr>
                <w:rFonts w:ascii="Candara" w:hAnsi="Candara"/>
                <w:b/>
              </w:rPr>
            </w:pPr>
            <w:r>
              <w:rPr>
                <w:rFonts w:ascii="Candara" w:hAnsi="Candara"/>
                <w:b/>
              </w:rPr>
              <w:t>-</w:t>
            </w:r>
          </w:p>
        </w:tc>
      </w:tr>
      <w:tr w:rsidR="001F14FA" w:rsidRPr="00B54668" w14:paraId="41516095" w14:textId="62D16FE4" w:rsidTr="00370212">
        <w:trPr>
          <w:trHeight w:val="562"/>
        </w:trPr>
        <w:tc>
          <w:tcPr>
            <w:tcW w:w="2481"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763" w:type="dxa"/>
            <w:gridSpan w:val="2"/>
            <w:shd w:val="clear" w:color="auto" w:fill="auto"/>
            <w:vAlign w:val="center"/>
          </w:tcPr>
          <w:p w14:paraId="3BAA5638" w14:textId="77E5C673" w:rsidR="001F14FA" w:rsidRDefault="00315B22" w:rsidP="00E857F8">
            <w:pPr>
              <w:tabs>
                <w:tab w:val="left" w:pos="360"/>
              </w:tabs>
              <w:spacing w:after="0" w:line="240" w:lineRule="auto"/>
              <w:jc w:val="left"/>
              <w:rPr>
                <w:rFonts w:ascii="Candara" w:hAnsi="Candara"/>
                <w:b/>
              </w:rPr>
            </w:pPr>
            <w:r>
              <w:rPr>
                <w:rFonts w:ascii="Candara" w:hAnsi="Candara"/>
                <w:b/>
              </w:rPr>
              <w:t>-</w:t>
            </w:r>
          </w:p>
        </w:tc>
        <w:tc>
          <w:tcPr>
            <w:tcW w:w="5079"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1426" w:type="dxa"/>
            <w:shd w:val="clear" w:color="auto" w:fill="auto"/>
            <w:vAlign w:val="center"/>
          </w:tcPr>
          <w:p w14:paraId="17BE5BF1" w14:textId="0CC90070" w:rsidR="001F14FA" w:rsidRDefault="00730EAC" w:rsidP="00E857F8">
            <w:pPr>
              <w:tabs>
                <w:tab w:val="left" w:pos="360"/>
              </w:tabs>
              <w:spacing w:after="0" w:line="240" w:lineRule="auto"/>
              <w:jc w:val="left"/>
              <w:rPr>
                <w:rFonts w:ascii="Candara" w:hAnsi="Candara"/>
                <w:b/>
              </w:rPr>
            </w:pPr>
            <w:r>
              <w:rPr>
                <w:rFonts w:ascii="Candara" w:hAnsi="Candara"/>
                <w:b/>
              </w:rPr>
              <w:t>70</w:t>
            </w:r>
          </w:p>
        </w:tc>
      </w:tr>
      <w:tr w:rsidR="001F14FA" w:rsidRPr="00B54668" w14:paraId="229DA10A" w14:textId="1D806BC4" w:rsidTr="00370212">
        <w:trPr>
          <w:trHeight w:val="562"/>
        </w:trPr>
        <w:tc>
          <w:tcPr>
            <w:tcW w:w="2481"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763" w:type="dxa"/>
            <w:gridSpan w:val="2"/>
            <w:shd w:val="clear" w:color="auto" w:fill="auto"/>
            <w:vAlign w:val="center"/>
          </w:tcPr>
          <w:p w14:paraId="373FFD5E" w14:textId="32A29AC8" w:rsidR="001F14FA" w:rsidRDefault="00A3637C" w:rsidP="00E857F8">
            <w:pPr>
              <w:tabs>
                <w:tab w:val="left" w:pos="360"/>
              </w:tabs>
              <w:spacing w:after="0" w:line="240" w:lineRule="auto"/>
              <w:jc w:val="left"/>
              <w:rPr>
                <w:rFonts w:ascii="Candara" w:hAnsi="Candara"/>
                <w:b/>
              </w:rPr>
            </w:pPr>
            <w:r>
              <w:rPr>
                <w:rFonts w:ascii="Candara" w:hAnsi="Candara"/>
                <w:b/>
              </w:rPr>
              <w:t>3</w:t>
            </w:r>
            <w:r w:rsidR="00315B22">
              <w:rPr>
                <w:rFonts w:ascii="Candara" w:hAnsi="Candara"/>
                <w:b/>
              </w:rPr>
              <w:t>0</w:t>
            </w:r>
          </w:p>
        </w:tc>
        <w:tc>
          <w:tcPr>
            <w:tcW w:w="5079"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1426"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370212">
        <w:trPr>
          <w:trHeight w:val="562"/>
        </w:trPr>
        <w:tc>
          <w:tcPr>
            <w:tcW w:w="10749"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453E3" w14:textId="77777777" w:rsidR="00136055" w:rsidRDefault="00136055" w:rsidP="00864926">
      <w:pPr>
        <w:spacing w:after="0" w:line="240" w:lineRule="auto"/>
      </w:pPr>
      <w:r>
        <w:separator/>
      </w:r>
    </w:p>
  </w:endnote>
  <w:endnote w:type="continuationSeparator" w:id="0">
    <w:p w14:paraId="2B3DEE6D" w14:textId="77777777" w:rsidR="00136055" w:rsidRDefault="0013605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6FFBF" w14:textId="77777777" w:rsidR="00136055" w:rsidRDefault="00136055" w:rsidP="00864926">
      <w:pPr>
        <w:spacing w:after="0" w:line="240" w:lineRule="auto"/>
      </w:pPr>
      <w:r>
        <w:separator/>
      </w:r>
    </w:p>
  </w:footnote>
  <w:footnote w:type="continuationSeparator" w:id="0">
    <w:p w14:paraId="36ABC7A1" w14:textId="77777777" w:rsidR="00136055" w:rsidRDefault="0013605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1339F"/>
    <w:rsid w:val="00033AAA"/>
    <w:rsid w:val="000F6001"/>
    <w:rsid w:val="00136055"/>
    <w:rsid w:val="001D3BF1"/>
    <w:rsid w:val="001D64D3"/>
    <w:rsid w:val="001F14FA"/>
    <w:rsid w:val="001F60E3"/>
    <w:rsid w:val="002319B6"/>
    <w:rsid w:val="00315601"/>
    <w:rsid w:val="00315B22"/>
    <w:rsid w:val="00323176"/>
    <w:rsid w:val="00370212"/>
    <w:rsid w:val="003B32A9"/>
    <w:rsid w:val="003C177A"/>
    <w:rsid w:val="00406F80"/>
    <w:rsid w:val="00431EFA"/>
    <w:rsid w:val="00493925"/>
    <w:rsid w:val="004D1C7E"/>
    <w:rsid w:val="004E562D"/>
    <w:rsid w:val="00577060"/>
    <w:rsid w:val="005A5D38"/>
    <w:rsid w:val="005B0885"/>
    <w:rsid w:val="005B64BF"/>
    <w:rsid w:val="005C46C9"/>
    <w:rsid w:val="005D46D7"/>
    <w:rsid w:val="00603117"/>
    <w:rsid w:val="0064755F"/>
    <w:rsid w:val="00680ECE"/>
    <w:rsid w:val="0069043C"/>
    <w:rsid w:val="00697267"/>
    <w:rsid w:val="006E40AE"/>
    <w:rsid w:val="006F647C"/>
    <w:rsid w:val="00730EA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3637C"/>
    <w:rsid w:val="00AF47A6"/>
    <w:rsid w:val="00B50491"/>
    <w:rsid w:val="00B54668"/>
    <w:rsid w:val="00B9521A"/>
    <w:rsid w:val="00BD3504"/>
    <w:rsid w:val="00C63234"/>
    <w:rsid w:val="00CA6D81"/>
    <w:rsid w:val="00CC23C3"/>
    <w:rsid w:val="00CD17F1"/>
    <w:rsid w:val="00D240F3"/>
    <w:rsid w:val="00D92F39"/>
    <w:rsid w:val="00DB43CC"/>
    <w:rsid w:val="00E1222F"/>
    <w:rsid w:val="00E47B95"/>
    <w:rsid w:val="00E5013A"/>
    <w:rsid w:val="00E60599"/>
    <w:rsid w:val="00E64413"/>
    <w:rsid w:val="00E71A0B"/>
    <w:rsid w:val="00E8188A"/>
    <w:rsid w:val="00E857F8"/>
    <w:rsid w:val="00EA7E0C"/>
    <w:rsid w:val="00EC53EE"/>
    <w:rsid w:val="00F06AFA"/>
    <w:rsid w:val="00F237EB"/>
    <w:rsid w:val="00F56373"/>
    <w:rsid w:val="00F63917"/>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B3DCACF7-B270-4F7B-A060-D0F21D57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B8185-14D8-49D9-BEBA-A248F127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Dusan Stamenkovic</cp:lastModifiedBy>
  <cp:revision>8</cp:revision>
  <cp:lastPrinted>2015-12-23T11:47:00Z</cp:lastPrinted>
  <dcterms:created xsi:type="dcterms:W3CDTF">2017-03-17T19:11:00Z</dcterms:created>
  <dcterms:modified xsi:type="dcterms:W3CDTF">2017-03-17T22:08:00Z</dcterms:modified>
</cp:coreProperties>
</file>