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6B" w:rsidRPr="004E4EBE" w:rsidRDefault="00CA286B" w:rsidP="00CA286B">
      <w:pPr>
        <w:rPr>
          <w:lang w:val="en-GB"/>
        </w:rPr>
      </w:pPr>
    </w:p>
    <w:tbl>
      <w:tblPr>
        <w:tblW w:w="1044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A286B" w:rsidRPr="004E4EBE" w:rsidTr="00647D2B">
        <w:trPr>
          <w:trHeight w:val="980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sz w:val="36"/>
                <w:szCs w:val="36"/>
                <w:lang w:val="en-GB"/>
              </w:rPr>
            </w:pPr>
            <w:r w:rsidRPr="004E4EBE">
              <w:rPr>
                <w:lang w:val="en-GB"/>
              </w:rPr>
              <w:drawing>
                <wp:inline distT="0" distB="0" distL="114300" distR="114300" wp14:anchorId="45DC91B3" wp14:editId="39CE5D9D">
                  <wp:extent cx="552450" cy="548640"/>
                  <wp:effectExtent l="0" t="0" r="0" b="0"/>
                  <wp:docPr id="5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 xml:space="preserve">                         UNIVERSITY OF </w:t>
            </w:r>
            <w:proofErr w:type="spellStart"/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NIŠ</w:t>
            </w:r>
            <w:proofErr w:type="spellEnd"/>
          </w:p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CA286B" w:rsidRPr="004E4EBE" w:rsidTr="00647D2B">
        <w:trPr>
          <w:trHeight w:val="740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86B" w:rsidRPr="004E4EBE" w:rsidRDefault="00CA286B" w:rsidP="00647D2B">
            <w:pPr>
              <w:spacing w:after="0" w:line="240" w:lineRule="auto"/>
              <w:rPr>
                <w:rFonts w:ascii="Candara" w:eastAsia="Candara" w:hAnsi="Candara" w:cs="Candara"/>
                <w:sz w:val="36"/>
                <w:szCs w:val="36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86B" w:rsidRPr="004E4EBE" w:rsidRDefault="00CA286B" w:rsidP="00647D2B">
            <w:pPr>
              <w:spacing w:after="0" w:line="240" w:lineRule="auto"/>
              <w:jc w:val="left"/>
              <w:rPr>
                <w:sz w:val="36"/>
                <w:szCs w:val="36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Faculty</w:t>
            </w:r>
            <w:r w:rsidRPr="004E4EBE">
              <w:rPr>
                <w:rFonts w:ascii="Candara" w:eastAsia="Candara" w:hAnsi="Candara" w:cs="Candara"/>
                <w:b/>
                <w:color w:val="548DD4"/>
                <w:sz w:val="36"/>
                <w:szCs w:val="36"/>
                <w:lang w:val="en-GB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86B" w:rsidRPr="004E4EBE" w:rsidRDefault="00CA286B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Faculty of Philosophy</w:t>
            </w:r>
          </w:p>
        </w:tc>
      </w:tr>
      <w:tr w:rsidR="00CA286B" w:rsidRPr="004E4EBE" w:rsidTr="00647D2B">
        <w:trPr>
          <w:trHeight w:val="520"/>
        </w:trPr>
        <w:tc>
          <w:tcPr>
            <w:tcW w:w="104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CA286B" w:rsidRPr="004E4EBE" w:rsidRDefault="00CA286B" w:rsidP="00647D2B">
            <w:pPr>
              <w:spacing w:line="240" w:lineRule="auto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GENERAL INFORMATION</w:t>
            </w:r>
          </w:p>
        </w:tc>
      </w:tr>
      <w:tr w:rsidR="00CA286B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color w:val="548DD4"/>
                <w:sz w:val="24"/>
                <w:szCs w:val="24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French Language and Literature</w:t>
            </w:r>
          </w:p>
        </w:tc>
      </w:tr>
      <w:tr w:rsidR="00CA286B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Study </w:t>
            </w:r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Module  (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/</w:t>
            </w:r>
          </w:p>
        </w:tc>
      </w:tr>
      <w:tr w:rsidR="00CA286B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Translation and Interpretation</w:t>
            </w:r>
          </w:p>
        </w:tc>
      </w:tr>
      <w:tr w:rsidR="00CA286B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 xml:space="preserve">x 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Bachelor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Master’s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Doctoral</w:t>
            </w:r>
          </w:p>
        </w:tc>
      </w:tr>
      <w:tr w:rsidR="00CA286B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Obligatory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Elective</w:t>
            </w:r>
          </w:p>
        </w:tc>
      </w:tr>
      <w:tr w:rsidR="00CA286B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CA286B" w:rsidRPr="004E4EBE" w:rsidRDefault="00CA286B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CA286B" w:rsidRPr="004E4EBE" w:rsidRDefault="00CA286B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 </w:t>
            </w: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Autumn  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>Spring</w:t>
            </w:r>
          </w:p>
        </w:tc>
      </w:tr>
      <w:tr w:rsidR="00CA286B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IV</w:t>
            </w:r>
          </w:p>
        </w:tc>
      </w:tr>
      <w:tr w:rsidR="00CA286B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4</w:t>
            </w:r>
          </w:p>
        </w:tc>
      </w:tr>
      <w:tr w:rsidR="00CA286B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Ivan Jovanović,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Nataša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Živić</w:t>
            </w:r>
            <w:proofErr w:type="spellEnd"/>
          </w:p>
        </w:tc>
      </w:tr>
      <w:tr w:rsidR="00CA286B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CA286B" w:rsidRPr="004E4EBE" w:rsidRDefault="00CA286B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 xml:space="preserve">x 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Lectures  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Group tutorials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Individual tutorials</w:t>
            </w:r>
          </w:p>
          <w:p w:rsidR="00CA286B" w:rsidRPr="004E4EBE" w:rsidRDefault="00CA286B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Laboratory work     </w:t>
            </w:r>
            <w:proofErr w:type="gramStart"/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Project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 work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Seminar</w:t>
            </w:r>
          </w:p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Distance learning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Blended learning      </w:t>
            </w:r>
            <w:proofErr w:type="gramStart"/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Other</w:t>
            </w:r>
            <w:proofErr w:type="gramEnd"/>
          </w:p>
        </w:tc>
      </w:tr>
      <w:tr w:rsidR="00CA286B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PURPOSE AND OVERVIEW (max. 5 sentences)</w:t>
            </w:r>
          </w:p>
        </w:tc>
      </w:tr>
      <w:tr w:rsidR="00CA286B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CA286B" w:rsidRPr="004E4EBE" w:rsidRDefault="00CA286B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Introduce students to the basics of the theory of translation. Introduction to translation techniques in oral and written translation. Developing skills and abilities for translating written text and speech.</w:t>
            </w:r>
          </w:p>
        </w:tc>
      </w:tr>
      <w:tr w:rsidR="00CA286B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SYLLABUS (brief outline and summary of topics, max. 10 sentences)</w:t>
            </w:r>
          </w:p>
        </w:tc>
      </w:tr>
      <w:tr w:rsidR="00CA286B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CA286B" w:rsidRPr="004E4EBE" w:rsidRDefault="00CA286B" w:rsidP="00647D2B">
            <w:pPr>
              <w:spacing w:after="0"/>
              <w:ind w:left="720" w:hanging="72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The concept of the modern theory of translation. Types of translation theory: the interpretive action-theory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polysystem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.</w:t>
            </w:r>
          </w:p>
          <w:p w:rsidR="00CA286B" w:rsidRPr="004E4EBE" w:rsidRDefault="00CA286B" w:rsidP="00647D2B">
            <w:pPr>
              <w:spacing w:after="0"/>
              <w:ind w:left="720" w:hanging="72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History of translation. Theoretical concepts of the theory of translation. Linguistic concepts: redistribution, switching,</w:t>
            </w:r>
          </w:p>
          <w:p w:rsidR="00CA286B" w:rsidRPr="004E4EBE" w:rsidRDefault="00CA286B" w:rsidP="00647D2B">
            <w:pPr>
              <w:spacing w:after="0"/>
              <w:ind w:left="720" w:hanging="72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adding, omission. Types of translation. Interpretation: simultaneous and consecutive. Translation: literary and </w:t>
            </w:r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non literary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>.</w:t>
            </w:r>
          </w:p>
          <w:p w:rsidR="00CA286B" w:rsidRPr="004E4EBE" w:rsidRDefault="00CA286B" w:rsidP="00647D2B">
            <w:pPr>
              <w:spacing w:after="0"/>
              <w:ind w:left="720" w:hanging="720"/>
              <w:rPr>
                <w:rFonts w:ascii="Candara" w:eastAsia="Candara" w:hAnsi="Candara" w:cs="Candara"/>
                <w:lang w:val="en-GB"/>
              </w:rPr>
            </w:pPr>
          </w:p>
          <w:p w:rsidR="00CA286B" w:rsidRPr="004E4EBE" w:rsidRDefault="00CA286B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 xml:space="preserve">Bibliographic </w:t>
            </w:r>
            <w:proofErr w:type="gramStart"/>
            <w:r w:rsidRPr="004E4EBE">
              <w:rPr>
                <w:rFonts w:ascii="Candara" w:eastAsia="Candara" w:hAnsi="Candara" w:cs="Candara"/>
                <w:b/>
                <w:lang w:val="en-GB"/>
              </w:rPr>
              <w:t>references :</w:t>
            </w:r>
            <w:proofErr w:type="gramEnd"/>
          </w:p>
          <w:p w:rsidR="00CA286B" w:rsidRPr="004E4EBE" w:rsidRDefault="00CA286B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1.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Guidère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M. (2013).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Introduction à la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traductologie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.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Penser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la </w:t>
            </w:r>
            <w:proofErr w:type="spellStart"/>
            <w:proofErr w:type="gramStart"/>
            <w:r w:rsidRPr="004E4EBE">
              <w:rPr>
                <w:rFonts w:ascii="Candara" w:eastAsia="Candara" w:hAnsi="Candara" w:cs="Candara"/>
                <w:i/>
                <w:lang w:val="en-GB"/>
              </w:rPr>
              <w:t>traduction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> :</w:t>
            </w:r>
            <w:proofErr w:type="gram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hier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,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aujourd’hui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,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demain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. </w:t>
            </w:r>
            <w:proofErr w:type="spellStart"/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Bruxelles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 :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 De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boeck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.</w:t>
            </w:r>
          </w:p>
          <w:p w:rsidR="00CA286B" w:rsidRPr="004E4EBE" w:rsidRDefault="00CA286B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2.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Крстић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Н. (2008).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Француски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и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српски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у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контакту-структура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просте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реченице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и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превођење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Сремски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Карловци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–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Нови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Сад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: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Издавачка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књижарница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Зорана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Стојановића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.</w:t>
            </w:r>
          </w:p>
          <w:p w:rsidR="00CA286B" w:rsidRPr="004E4EBE" w:rsidRDefault="00CA286B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3.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Rozan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J.-F. (1974).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La prise de notes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en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interprétation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consécutive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. Paris: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Librairie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de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l’Université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Georg.</w:t>
            </w:r>
          </w:p>
          <w:p w:rsidR="00CA286B" w:rsidRPr="004E4EBE" w:rsidRDefault="00CA286B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4.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Селесковић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Д,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Ледерер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М. (2007).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Образложен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педагошки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прилаз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настави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конференцијског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превођења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Београд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: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Удружење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научних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и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стручних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преводилаца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Србије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.</w:t>
            </w:r>
          </w:p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CA286B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lastRenderedPageBreak/>
              <w:t>LANGUAGE OF INSTRUCTION</w:t>
            </w:r>
          </w:p>
        </w:tc>
      </w:tr>
      <w:tr w:rsidR="00CA286B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Serbian  (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complete course)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English (complete course)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French and Serbian (complete course)</w:t>
            </w:r>
          </w:p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Serbian with English mentoring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>Serbian with other mentoring ______________</w:t>
            </w:r>
          </w:p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CA286B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ASSESSMENT METHODS AND CRITERIA</w:t>
            </w:r>
          </w:p>
        </w:tc>
      </w:tr>
      <w:tr w:rsidR="00CA286B" w:rsidRPr="004E4EBE" w:rsidTr="00647D2B">
        <w:trPr>
          <w:trHeight w:val="560"/>
        </w:trPr>
        <w:tc>
          <w:tcPr>
            <w:tcW w:w="2550" w:type="dxa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proofErr w:type="gramStart"/>
            <w:r w:rsidRPr="004E4EBE">
              <w:rPr>
                <w:rFonts w:ascii="Candara" w:eastAsia="Candara" w:hAnsi="Candara" w:cs="Candara"/>
                <w:b/>
                <w:lang w:val="en-GB"/>
              </w:rPr>
              <w:t>Pre exam</w:t>
            </w:r>
            <w:proofErr w:type="gramEnd"/>
            <w:r w:rsidRPr="004E4EBE">
              <w:rPr>
                <w:rFonts w:ascii="Candara" w:eastAsia="Candara" w:hAnsi="Candara" w:cs="Candara"/>
                <w:b/>
                <w:lang w:val="en-GB"/>
              </w:rPr>
              <w:t xml:space="preserve"> duties</w:t>
            </w:r>
          </w:p>
        </w:tc>
        <w:tc>
          <w:tcPr>
            <w:tcW w:w="1575" w:type="dxa"/>
            <w:gridSpan w:val="2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Final exam</w:t>
            </w:r>
          </w:p>
        </w:tc>
        <w:tc>
          <w:tcPr>
            <w:tcW w:w="3060" w:type="dxa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points</w:t>
            </w:r>
          </w:p>
        </w:tc>
      </w:tr>
      <w:tr w:rsidR="00CA286B" w:rsidRPr="004E4EBE" w:rsidTr="00647D2B">
        <w:trPr>
          <w:trHeight w:val="560"/>
        </w:trPr>
        <w:tc>
          <w:tcPr>
            <w:tcW w:w="2550" w:type="dxa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30</w:t>
            </w:r>
          </w:p>
        </w:tc>
      </w:tr>
      <w:tr w:rsidR="00CA286B" w:rsidRPr="004E4EBE" w:rsidTr="00647D2B">
        <w:trPr>
          <w:trHeight w:val="560"/>
        </w:trPr>
        <w:tc>
          <w:tcPr>
            <w:tcW w:w="2550" w:type="dxa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30</w:t>
            </w:r>
          </w:p>
        </w:tc>
      </w:tr>
      <w:tr w:rsidR="00CA286B" w:rsidRPr="004E4EBE" w:rsidTr="00647D2B">
        <w:trPr>
          <w:trHeight w:val="560"/>
        </w:trPr>
        <w:tc>
          <w:tcPr>
            <w:tcW w:w="2550" w:type="dxa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100</w:t>
            </w:r>
          </w:p>
        </w:tc>
      </w:tr>
      <w:tr w:rsidR="00CA286B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CA286B" w:rsidRPr="004E4EBE" w:rsidRDefault="00CA286B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*Final examination mark is formed in accordance with the Institutional documents</w:t>
            </w:r>
          </w:p>
        </w:tc>
      </w:tr>
    </w:tbl>
    <w:p w:rsidR="00CA286B" w:rsidRPr="004E4EBE" w:rsidRDefault="00CA286B" w:rsidP="00CA286B">
      <w:pPr>
        <w:ind w:left="1089"/>
        <w:rPr>
          <w:lang w:val="en-GB"/>
        </w:rPr>
      </w:pPr>
    </w:p>
    <w:p w:rsidR="009637C0" w:rsidRPr="00CA286B" w:rsidRDefault="009637C0" w:rsidP="00CA286B">
      <w:bookmarkStart w:id="0" w:name="_GoBack"/>
      <w:bookmarkEnd w:id="0"/>
    </w:p>
    <w:sectPr w:rsidR="009637C0" w:rsidRPr="00CA28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EC"/>
    <w:rsid w:val="00123FF0"/>
    <w:rsid w:val="004A189B"/>
    <w:rsid w:val="00656B5C"/>
    <w:rsid w:val="009637C0"/>
    <w:rsid w:val="009969C1"/>
    <w:rsid w:val="00B731D1"/>
    <w:rsid w:val="00C338EC"/>
    <w:rsid w:val="00CA286B"/>
    <w:rsid w:val="00F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B72B"/>
  <w15:chartTrackingRefBased/>
  <w15:docId w15:val="{E75E7167-0E64-4BC6-BADB-50096BCC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731D1"/>
    <w:pPr>
      <w:widowControl w:val="0"/>
      <w:spacing w:after="120" w:line="264" w:lineRule="auto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3</cp:revision>
  <dcterms:created xsi:type="dcterms:W3CDTF">2018-05-16T11:36:00Z</dcterms:created>
  <dcterms:modified xsi:type="dcterms:W3CDTF">2018-05-16T11:36:00Z</dcterms:modified>
</cp:coreProperties>
</file>