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A685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A685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A685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850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85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A685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CA685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CA685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A6850" w:rsidRDefault="00CD17F1" w:rsidP="00CA685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A685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A6850" w:rsidRDefault="00CD17F1" w:rsidP="00CA6850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A685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A6850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A6850" w:rsidRDefault="00CA6850" w:rsidP="00CA6850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CA685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A685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A685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A685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A6850" w:rsidRDefault="008F689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A6850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864926" w:rsidRPr="00CA685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A685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 xml:space="preserve">Study </w:t>
            </w:r>
            <w:proofErr w:type="gramStart"/>
            <w:r w:rsidRPr="00CA6850">
              <w:rPr>
                <w:rFonts w:ascii="Candara" w:hAnsi="Candara"/>
              </w:rPr>
              <w:t>Module  (</w:t>
            </w:r>
            <w:proofErr w:type="gramEnd"/>
            <w:r w:rsidRPr="00CA6850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A685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CA685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A685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A6850" w:rsidRDefault="00BE09FC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CA6850">
              <w:rPr>
                <w:b/>
                <w:sz w:val="24"/>
                <w:szCs w:val="24"/>
              </w:rPr>
              <w:t>Existentialist Theatre: Sartre and Camus</w:t>
            </w:r>
          </w:p>
        </w:tc>
      </w:tr>
      <w:tr w:rsidR="006F647C" w:rsidRPr="00CA685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A685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A6850" w:rsidRDefault="00690D3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645672"/>
                  </w:sdtPr>
                  <w:sdtEndPr/>
                  <w:sdtContent>
                    <w:r w:rsidR="00CF3AC5" w:rsidRPr="00CA685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E5013A" w:rsidRPr="00CA6850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A685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A6850">
              <w:rPr>
                <w:rFonts w:ascii="Candara" w:hAnsi="Candara"/>
              </w:rPr>
              <w:t xml:space="preserve"> Doctoral</w:t>
            </w:r>
          </w:p>
        </w:tc>
      </w:tr>
      <w:tr w:rsidR="00CD17F1" w:rsidRPr="00CA685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A685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A6850" w:rsidRDefault="00690D3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CA6850">
              <w:rPr>
                <w:rFonts w:ascii="Candara" w:hAnsi="Candara"/>
              </w:rPr>
              <w:t xml:space="preserve"> Obligatory</w:t>
            </w:r>
            <w:r w:rsidR="00406F80" w:rsidRPr="00CA685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645673"/>
                  </w:sdtPr>
                  <w:sdtEndPr/>
                  <w:sdtContent>
                    <w:r w:rsidR="00CF3AC5" w:rsidRPr="00CA685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406F80" w:rsidRPr="00CA6850">
              <w:rPr>
                <w:rFonts w:ascii="Candara" w:hAnsi="Candara"/>
              </w:rPr>
              <w:t xml:space="preserve"> Elective</w:t>
            </w:r>
          </w:p>
        </w:tc>
      </w:tr>
      <w:tr w:rsidR="00864926" w:rsidRPr="00CA685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A685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A6850">
              <w:rPr>
                <w:rFonts w:ascii="Candara" w:hAnsi="Candara"/>
              </w:rPr>
              <w:t xml:space="preserve">Semester </w:t>
            </w:r>
            <w:r w:rsidR="0069043C" w:rsidRPr="00CA685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A685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A6850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6645674"/>
                  </w:sdtPr>
                  <w:sdtEndPr/>
                  <w:sdtContent>
                    <w:r w:rsidR="00CF3AC5" w:rsidRPr="00CA685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CA685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CA6850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CA6850">
              <w:rPr>
                <w:rFonts w:ascii="Candara" w:hAnsi="Candara" w:cs="Arial"/>
              </w:rPr>
              <w:t>Spring</w:t>
            </w:r>
          </w:p>
        </w:tc>
      </w:tr>
      <w:tr w:rsidR="00864926" w:rsidRPr="00CA685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A685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A6850" w:rsidRDefault="00CF3AC5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CA6850">
              <w:rPr>
                <w:rFonts w:cs="Arial"/>
                <w:b/>
              </w:rPr>
              <w:t xml:space="preserve">Fourth </w:t>
            </w:r>
          </w:p>
        </w:tc>
      </w:tr>
      <w:tr w:rsidR="00A1335D" w:rsidRPr="00CA685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A685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A6850" w:rsidRDefault="00CF3AC5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 w:rsidRPr="00CA6850">
              <w:rPr>
                <w:rFonts w:cs="Arial"/>
                <w:b/>
              </w:rPr>
              <w:t>4</w:t>
            </w:r>
          </w:p>
        </w:tc>
      </w:tr>
      <w:tr w:rsidR="00E857F8" w:rsidRPr="00CA685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A685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A6850" w:rsidRDefault="00CA6850" w:rsidP="00E857F8">
            <w:pPr>
              <w:spacing w:line="240" w:lineRule="auto"/>
              <w:contextualSpacing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Nikola </w:t>
            </w:r>
            <w:proofErr w:type="spellStart"/>
            <w:r>
              <w:rPr>
                <w:rFonts w:cs="Arial"/>
                <w:b/>
              </w:rPr>
              <w:t>Bjel</w:t>
            </w:r>
            <w:r w:rsidR="00CF3AC5" w:rsidRPr="00CA6850">
              <w:rPr>
                <w:rFonts w:cs="Arial"/>
                <w:b/>
              </w:rPr>
              <w:t>ić</w:t>
            </w:r>
            <w:proofErr w:type="spellEnd"/>
            <w:r w:rsidR="00CF3AC5" w:rsidRPr="00CA6850">
              <w:rPr>
                <w:rFonts w:cs="Arial"/>
                <w:b/>
              </w:rPr>
              <w:t xml:space="preserve"> </w:t>
            </w:r>
          </w:p>
        </w:tc>
      </w:tr>
      <w:tr w:rsidR="00B50491" w:rsidRPr="00CA685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A685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B4A41" w:rsidRPr="00CA6850" w:rsidRDefault="00603117" w:rsidP="005B4A41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="005B4A41" w:rsidRPr="00CA685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5B4A41" w:rsidRPr="00CA6850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r w:rsidR="005B4A41" w:rsidRPr="00CA685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5B4A41" w:rsidRPr="00CA685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5B4A41"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B4A41" w:rsidRPr="00CA6850">
              <w:rPr>
                <w:rFonts w:ascii="Candara" w:hAnsi="Candara"/>
              </w:rPr>
              <w:t xml:space="preserve"> Individual tutorials</w:t>
            </w:r>
          </w:p>
          <w:p w:rsidR="005B4A41" w:rsidRPr="00CA6850" w:rsidRDefault="005B4A41" w:rsidP="005B4A41">
            <w:pPr>
              <w:spacing w:after="0" w:line="240" w:lineRule="auto"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6850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CA685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CA685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CA6850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CA6850">
              <w:rPr>
                <w:rFonts w:ascii="Candara" w:hAnsi="Candara"/>
              </w:rPr>
              <w:t xml:space="preserve">  Seminar</w:t>
            </w:r>
          </w:p>
          <w:p w:rsidR="00603117" w:rsidRPr="00CA6850" w:rsidRDefault="005B4A41" w:rsidP="005B4A41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CA685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685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685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6850">
              <w:rPr>
                <w:rFonts w:ascii="Candara" w:hAnsi="Candara"/>
              </w:rPr>
              <w:t xml:space="preserve">  Other</w:t>
            </w:r>
          </w:p>
        </w:tc>
      </w:tr>
      <w:tr w:rsidR="00911529" w:rsidRPr="00CA685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A685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 xml:space="preserve">PURPOSE AND OVERVIEW </w:t>
            </w:r>
            <w:r w:rsidR="00B54668" w:rsidRPr="00CA6850">
              <w:rPr>
                <w:rFonts w:ascii="Candara" w:hAnsi="Candara"/>
                <w:b/>
              </w:rPr>
              <w:t>(max</w:t>
            </w:r>
            <w:r w:rsidR="00B50491" w:rsidRPr="00CA6850">
              <w:rPr>
                <w:rFonts w:ascii="Candara" w:hAnsi="Candara"/>
                <w:b/>
              </w:rPr>
              <w:t>.</w:t>
            </w:r>
            <w:r w:rsidR="00B54668" w:rsidRPr="00CA6850">
              <w:rPr>
                <w:rFonts w:ascii="Candara" w:hAnsi="Candara"/>
                <w:b/>
              </w:rPr>
              <w:t xml:space="preserve"> 5</w:t>
            </w:r>
            <w:r w:rsidR="00B50491" w:rsidRPr="00CA6850">
              <w:rPr>
                <w:rFonts w:ascii="Candara" w:hAnsi="Candara"/>
                <w:b/>
              </w:rPr>
              <w:t xml:space="preserve"> sentences</w:t>
            </w:r>
            <w:r w:rsidR="00B54668" w:rsidRPr="00CA6850">
              <w:rPr>
                <w:rFonts w:ascii="Candara" w:hAnsi="Candara"/>
                <w:b/>
              </w:rPr>
              <w:t>)</w:t>
            </w:r>
          </w:p>
        </w:tc>
      </w:tr>
      <w:tr w:rsidR="00911529" w:rsidRPr="00CA685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A6850" w:rsidRDefault="0065040F" w:rsidP="003F4705">
            <w:pPr>
              <w:spacing w:after="0" w:line="240" w:lineRule="auto"/>
              <w:contextualSpacing/>
              <w:jc w:val="left"/>
              <w:rPr>
                <w:rFonts w:cs="Arial"/>
              </w:rPr>
            </w:pPr>
            <w:r w:rsidRPr="00CA6850">
              <w:t xml:space="preserve">Introduction to Sartre and Camus </w:t>
            </w:r>
            <w:r w:rsidRPr="00CA6850">
              <w:rPr>
                <w:lang w:val="en-US"/>
              </w:rPr>
              <w:t>theater</w:t>
            </w:r>
            <w:r w:rsidRPr="00CA6850">
              <w:t xml:space="preserve"> works, with their attitudes and theoretical writings in the field of theatrical expression. Consideration of their plays in connection with existentialist philosophy.</w:t>
            </w:r>
          </w:p>
        </w:tc>
      </w:tr>
      <w:tr w:rsidR="00E857F8" w:rsidRPr="00CA685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A6850" w:rsidRDefault="00E857F8" w:rsidP="003F470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CA6850">
              <w:rPr>
                <w:rFonts w:cs="Arial"/>
                <w:b/>
              </w:rPr>
              <w:t>SYLLABUS (</w:t>
            </w:r>
            <w:r w:rsidR="00B50491" w:rsidRPr="00CA6850">
              <w:rPr>
                <w:rFonts w:cs="Arial"/>
                <w:b/>
              </w:rPr>
              <w:t xml:space="preserve">brief </w:t>
            </w:r>
            <w:r w:rsidRPr="00CA6850">
              <w:rPr>
                <w:rFonts w:cs="Arial"/>
                <w:b/>
              </w:rPr>
              <w:t>outline and summary of topics</w:t>
            </w:r>
            <w:r w:rsidR="00B50491" w:rsidRPr="00CA6850">
              <w:rPr>
                <w:rFonts w:cs="Arial"/>
                <w:b/>
              </w:rPr>
              <w:t>, max. 10 sentenc</w:t>
            </w:r>
            <w:r w:rsidR="001D3BF1" w:rsidRPr="00CA6850">
              <w:rPr>
                <w:rFonts w:cs="Arial"/>
                <w:b/>
              </w:rPr>
              <w:t>e</w:t>
            </w:r>
            <w:r w:rsidR="00B50491" w:rsidRPr="00CA6850">
              <w:rPr>
                <w:rFonts w:cs="Arial"/>
                <w:b/>
              </w:rPr>
              <w:t>s</w:t>
            </w:r>
            <w:r w:rsidRPr="00CA6850">
              <w:rPr>
                <w:rFonts w:cs="Arial"/>
                <w:b/>
              </w:rPr>
              <w:t>)</w:t>
            </w:r>
          </w:p>
        </w:tc>
      </w:tr>
      <w:tr w:rsidR="00B54668" w:rsidRPr="00CA685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F4705" w:rsidRPr="00CA6850" w:rsidRDefault="003F4705" w:rsidP="003F4705">
            <w:pPr>
              <w:spacing w:after="0"/>
              <w:rPr>
                <w:rFonts w:cs="Arial"/>
                <w:bCs/>
              </w:rPr>
            </w:pPr>
            <w:r w:rsidRPr="00CA6850">
              <w:rPr>
                <w:rFonts w:cs="Arial"/>
                <w:bCs/>
              </w:rPr>
              <w:t xml:space="preserve">1.André Lagarde et Laurent </w:t>
            </w:r>
            <w:proofErr w:type="spellStart"/>
            <w:r w:rsidRPr="00CA6850">
              <w:rPr>
                <w:rFonts w:cs="Arial"/>
                <w:bCs/>
              </w:rPr>
              <w:t>Michard</w:t>
            </w:r>
            <w:proofErr w:type="spellEnd"/>
            <w:r w:rsidRPr="00CA6850">
              <w:rPr>
                <w:rFonts w:cs="Arial"/>
                <w:bCs/>
              </w:rPr>
              <w:t xml:space="preserve">. </w:t>
            </w:r>
            <w:r w:rsidRPr="00CA6850">
              <w:rPr>
                <w:rFonts w:cs="Arial"/>
                <w:bCs/>
                <w:i/>
              </w:rPr>
              <w:t xml:space="preserve">Collection </w:t>
            </w:r>
            <w:proofErr w:type="spellStart"/>
            <w:r w:rsidRPr="00CA6850">
              <w:rPr>
                <w:rFonts w:cs="Arial"/>
                <w:bCs/>
                <w:i/>
              </w:rPr>
              <w:t>littéraire</w:t>
            </w:r>
            <w:proofErr w:type="spellEnd"/>
            <w:r w:rsidRPr="00CA6850">
              <w:rPr>
                <w:rFonts w:cs="Arial"/>
                <w:bCs/>
                <w:i/>
              </w:rPr>
              <w:t xml:space="preserve"> – </w:t>
            </w:r>
            <w:proofErr w:type="spellStart"/>
            <w:r w:rsidRPr="00CA6850">
              <w:rPr>
                <w:rFonts w:cs="Arial"/>
                <w:bCs/>
                <w:i/>
              </w:rPr>
              <w:t>XX</w:t>
            </w:r>
            <w:r w:rsidRPr="00CA6850">
              <w:rPr>
                <w:rFonts w:cs="Arial"/>
                <w:bCs/>
                <w:i/>
                <w:vertAlign w:val="superscript"/>
              </w:rPr>
              <w:t>e</w:t>
            </w:r>
            <w:proofErr w:type="spellEnd"/>
            <w:r w:rsidRPr="00CA6850">
              <w:rPr>
                <w:rFonts w:cs="Arial"/>
                <w:bCs/>
                <w:i/>
              </w:rPr>
              <w:t xml:space="preserve"> siècle</w:t>
            </w:r>
            <w:r w:rsidRPr="00CA6850">
              <w:rPr>
                <w:rFonts w:cs="Arial"/>
                <w:bCs/>
              </w:rPr>
              <w:t xml:space="preserve">. </w:t>
            </w:r>
            <w:proofErr w:type="spellStart"/>
            <w:r w:rsidRPr="00CA6850">
              <w:rPr>
                <w:rFonts w:cs="Arial"/>
                <w:bCs/>
              </w:rPr>
              <w:t>Chapitres</w:t>
            </w:r>
            <w:proofErr w:type="spellEnd"/>
            <w:r w:rsidRPr="00CA6850">
              <w:rPr>
                <w:rFonts w:cs="Arial"/>
                <w:bCs/>
              </w:rPr>
              <w:t xml:space="preserve"> ‘Le courant </w:t>
            </w:r>
            <w:proofErr w:type="spellStart"/>
            <w:r w:rsidRPr="00CA6850">
              <w:rPr>
                <w:rFonts w:cs="Arial"/>
                <w:bCs/>
              </w:rPr>
              <w:t>existentialiste</w:t>
            </w:r>
            <w:proofErr w:type="spellEnd"/>
            <w:r w:rsidRPr="00CA6850">
              <w:rPr>
                <w:rFonts w:cs="Arial"/>
                <w:bCs/>
              </w:rPr>
              <w:t xml:space="preserve">’, ‘La </w:t>
            </w:r>
            <w:proofErr w:type="spellStart"/>
            <w:r w:rsidRPr="00CA6850">
              <w:rPr>
                <w:rFonts w:cs="Arial"/>
                <w:bCs/>
              </w:rPr>
              <w:t>philosophie</w:t>
            </w:r>
            <w:proofErr w:type="spellEnd"/>
            <w:r w:rsidRPr="00CA6850">
              <w:rPr>
                <w:rFonts w:cs="Arial"/>
                <w:bCs/>
              </w:rPr>
              <w:t xml:space="preserve"> de </w:t>
            </w:r>
            <w:proofErr w:type="spellStart"/>
            <w:r w:rsidRPr="00CA6850">
              <w:rPr>
                <w:rFonts w:cs="Arial"/>
                <w:bCs/>
              </w:rPr>
              <w:t>l’absurde</w:t>
            </w:r>
            <w:proofErr w:type="spellEnd"/>
            <w:r w:rsidRPr="00CA6850">
              <w:rPr>
                <w:rFonts w:cs="Arial"/>
                <w:bCs/>
              </w:rPr>
              <w:t xml:space="preserve">’. </w:t>
            </w:r>
            <w:proofErr w:type="gramStart"/>
            <w:r w:rsidRPr="00CA6850">
              <w:rPr>
                <w:rFonts w:cs="Arial"/>
                <w:bCs/>
              </w:rPr>
              <w:t>Paris :</w:t>
            </w:r>
            <w:proofErr w:type="gramEnd"/>
            <w:r w:rsidRPr="00CA6850">
              <w:rPr>
                <w:rFonts w:cs="Arial"/>
                <w:bCs/>
              </w:rPr>
              <w:t xml:space="preserve"> </w:t>
            </w:r>
            <w:proofErr w:type="spellStart"/>
            <w:r w:rsidRPr="00CA6850">
              <w:rPr>
                <w:rFonts w:cs="Arial"/>
                <w:bCs/>
              </w:rPr>
              <w:t>Bordas</w:t>
            </w:r>
            <w:proofErr w:type="spellEnd"/>
            <w:r w:rsidRPr="00CA6850">
              <w:rPr>
                <w:rFonts w:cs="Arial"/>
                <w:bCs/>
              </w:rPr>
              <w:t>, 2001, p. 701-733.</w:t>
            </w:r>
          </w:p>
          <w:p w:rsidR="003F4705" w:rsidRPr="00CA6850" w:rsidRDefault="003F4705" w:rsidP="003F4705">
            <w:pPr>
              <w:spacing w:after="0"/>
              <w:rPr>
                <w:rFonts w:cs="Arial"/>
                <w:bCs/>
              </w:rPr>
            </w:pPr>
            <w:r w:rsidRPr="00CA6850">
              <w:rPr>
                <w:rFonts w:cs="Arial"/>
                <w:bCs/>
              </w:rPr>
              <w:t xml:space="preserve">2. Jean-Paul Sartre. </w:t>
            </w:r>
            <w:r w:rsidRPr="00CA6850">
              <w:rPr>
                <w:rFonts w:cs="Arial"/>
                <w:bCs/>
                <w:i/>
              </w:rPr>
              <w:t xml:space="preserve">Situations. 2. </w:t>
            </w:r>
            <w:proofErr w:type="spellStart"/>
            <w:r w:rsidRPr="00CA6850">
              <w:rPr>
                <w:rFonts w:cs="Arial"/>
                <w:bCs/>
                <w:i/>
              </w:rPr>
              <w:t>Littérature</w:t>
            </w:r>
            <w:proofErr w:type="spellEnd"/>
            <w:r w:rsidRPr="00CA6850">
              <w:rPr>
                <w:rFonts w:cs="Arial"/>
                <w:bCs/>
                <w:i/>
              </w:rPr>
              <w:t xml:space="preserve"> et engagement</w:t>
            </w:r>
            <w:r w:rsidRPr="00CA6850">
              <w:rPr>
                <w:rFonts w:cs="Arial"/>
                <w:bCs/>
              </w:rPr>
              <w:t xml:space="preserve">. </w:t>
            </w:r>
            <w:proofErr w:type="gramStart"/>
            <w:r w:rsidRPr="00CA6850">
              <w:rPr>
                <w:rFonts w:cs="Arial"/>
                <w:bCs/>
              </w:rPr>
              <w:t>Paris :</w:t>
            </w:r>
            <w:proofErr w:type="gramEnd"/>
            <w:r w:rsidRPr="00CA6850">
              <w:rPr>
                <w:rFonts w:cs="Arial"/>
                <w:bCs/>
              </w:rPr>
              <w:t xml:space="preserve"> Gallimard, 1999. </w:t>
            </w:r>
          </w:p>
          <w:p w:rsidR="003F4705" w:rsidRPr="00CA6850" w:rsidRDefault="003F4705" w:rsidP="003F4705">
            <w:pPr>
              <w:spacing w:after="0"/>
              <w:rPr>
                <w:rFonts w:eastAsia="ArialMT" w:cs="Arial"/>
              </w:rPr>
            </w:pPr>
            <w:r w:rsidRPr="00CA6850">
              <w:rPr>
                <w:rFonts w:cs="Arial"/>
                <w:bCs/>
              </w:rPr>
              <w:t xml:space="preserve">3. </w:t>
            </w:r>
            <w:r w:rsidRPr="00CA6850">
              <w:rPr>
                <w:rFonts w:eastAsia="ArialMT" w:cs="Arial"/>
              </w:rPr>
              <w:t xml:space="preserve">Jean-Jacques </w:t>
            </w:r>
            <w:proofErr w:type="spellStart"/>
            <w:r w:rsidRPr="00CA6850">
              <w:rPr>
                <w:rFonts w:eastAsia="ArialMT" w:cs="Arial"/>
              </w:rPr>
              <w:t>Roubine</w:t>
            </w:r>
            <w:proofErr w:type="spellEnd"/>
            <w:r w:rsidRPr="00CA6850">
              <w:rPr>
                <w:rFonts w:eastAsia="ArialMT" w:cs="Arial"/>
              </w:rPr>
              <w:t xml:space="preserve">. </w:t>
            </w:r>
            <w:r w:rsidRPr="00CA6850">
              <w:rPr>
                <w:rFonts w:eastAsia="ArialMT" w:cs="Arial"/>
                <w:i/>
              </w:rPr>
              <w:t xml:space="preserve">Introduction aux </w:t>
            </w:r>
            <w:proofErr w:type="spellStart"/>
            <w:r w:rsidRPr="00CA6850">
              <w:rPr>
                <w:rFonts w:eastAsia="ArialMT" w:cs="Arial"/>
                <w:i/>
              </w:rPr>
              <w:t>grandes</w:t>
            </w:r>
            <w:proofErr w:type="spellEnd"/>
            <w:r w:rsidRPr="00CA6850">
              <w:rPr>
                <w:rFonts w:eastAsia="ArialMT" w:cs="Arial"/>
                <w:i/>
              </w:rPr>
              <w:t xml:space="preserve"> </w:t>
            </w:r>
            <w:proofErr w:type="spellStart"/>
            <w:r w:rsidRPr="00CA6850">
              <w:rPr>
                <w:rFonts w:eastAsia="ArialMT" w:cs="Arial"/>
                <w:i/>
              </w:rPr>
              <w:t>théories</w:t>
            </w:r>
            <w:proofErr w:type="spellEnd"/>
            <w:r w:rsidRPr="00CA6850">
              <w:rPr>
                <w:rFonts w:eastAsia="ArialMT" w:cs="Arial"/>
                <w:i/>
              </w:rPr>
              <w:t xml:space="preserve"> du </w:t>
            </w:r>
            <w:proofErr w:type="spellStart"/>
            <w:r w:rsidRPr="00CA6850">
              <w:rPr>
                <w:rFonts w:eastAsia="ArialMT" w:cs="Arial"/>
                <w:i/>
              </w:rPr>
              <w:t>théâtre</w:t>
            </w:r>
            <w:proofErr w:type="spellEnd"/>
            <w:r w:rsidRPr="00CA6850">
              <w:rPr>
                <w:rFonts w:eastAsia="ArialMT" w:cs="Arial"/>
              </w:rPr>
              <w:t xml:space="preserve">. </w:t>
            </w:r>
            <w:proofErr w:type="gramStart"/>
            <w:r w:rsidRPr="00CA6850">
              <w:rPr>
                <w:rFonts w:eastAsia="ArialMT" w:cs="Arial"/>
              </w:rPr>
              <w:t>Paris :</w:t>
            </w:r>
            <w:proofErr w:type="gramEnd"/>
            <w:r w:rsidRPr="00CA6850">
              <w:rPr>
                <w:rFonts w:eastAsia="ArialMT" w:cs="Arial"/>
              </w:rPr>
              <w:t xml:space="preserve"> Armand Colin, 2004. </w:t>
            </w:r>
          </w:p>
          <w:p w:rsidR="003F4705" w:rsidRPr="00CA6850" w:rsidRDefault="003F4705" w:rsidP="003F4705">
            <w:pPr>
              <w:spacing w:after="0"/>
              <w:rPr>
                <w:rFonts w:cs="Arial"/>
                <w:bCs/>
              </w:rPr>
            </w:pPr>
            <w:r w:rsidRPr="00CA6850">
              <w:rPr>
                <w:rFonts w:eastAsia="ArialMT" w:cs="Arial"/>
              </w:rPr>
              <w:t xml:space="preserve">4. Jean-Pierre </w:t>
            </w:r>
            <w:proofErr w:type="spellStart"/>
            <w:r w:rsidRPr="00CA6850">
              <w:rPr>
                <w:rFonts w:eastAsia="ArialMT" w:cs="Arial"/>
              </w:rPr>
              <w:t>Ryngaert</w:t>
            </w:r>
            <w:proofErr w:type="spellEnd"/>
            <w:r w:rsidRPr="00CA6850">
              <w:rPr>
                <w:rFonts w:eastAsia="ArialMT" w:cs="Arial"/>
              </w:rPr>
              <w:t xml:space="preserve">. </w:t>
            </w:r>
            <w:proofErr w:type="spellStart"/>
            <w:r w:rsidRPr="00CA6850">
              <w:rPr>
                <w:rFonts w:eastAsia="ArialMT" w:cs="Arial"/>
                <w:i/>
              </w:rPr>
              <w:t>Introcuction</w:t>
            </w:r>
            <w:proofErr w:type="spellEnd"/>
            <w:r w:rsidRPr="00CA6850">
              <w:rPr>
                <w:rFonts w:eastAsia="ArialMT" w:cs="Arial"/>
                <w:i/>
              </w:rPr>
              <w:t xml:space="preserve"> à </w:t>
            </w:r>
            <w:proofErr w:type="spellStart"/>
            <w:r w:rsidRPr="00CA6850">
              <w:rPr>
                <w:rFonts w:eastAsia="ArialMT" w:cs="Arial"/>
                <w:i/>
              </w:rPr>
              <w:t>l’analyse</w:t>
            </w:r>
            <w:proofErr w:type="spellEnd"/>
            <w:r w:rsidRPr="00CA6850">
              <w:rPr>
                <w:rFonts w:eastAsia="ArialMT" w:cs="Arial"/>
                <w:i/>
              </w:rPr>
              <w:t xml:space="preserve"> du </w:t>
            </w:r>
            <w:proofErr w:type="spellStart"/>
            <w:r w:rsidRPr="00CA6850">
              <w:rPr>
                <w:rFonts w:eastAsia="ArialMT" w:cs="Arial"/>
                <w:i/>
              </w:rPr>
              <w:t>théâtre</w:t>
            </w:r>
            <w:proofErr w:type="spellEnd"/>
            <w:r w:rsidRPr="00CA6850">
              <w:rPr>
                <w:rFonts w:eastAsia="ArialMT" w:cs="Arial"/>
              </w:rPr>
              <w:t xml:space="preserve">. </w:t>
            </w:r>
            <w:proofErr w:type="gramStart"/>
            <w:r w:rsidRPr="00CA6850">
              <w:rPr>
                <w:rFonts w:eastAsia="ArialMT" w:cs="Arial"/>
              </w:rPr>
              <w:t>Paris :</w:t>
            </w:r>
            <w:proofErr w:type="gramEnd"/>
            <w:r w:rsidRPr="00CA6850">
              <w:rPr>
                <w:rFonts w:eastAsia="ArialMT" w:cs="Arial"/>
              </w:rPr>
              <w:t xml:space="preserve"> Armand Colin, 2001. </w:t>
            </w:r>
          </w:p>
          <w:p w:rsidR="003F4705" w:rsidRPr="00CA6850" w:rsidRDefault="003F4705" w:rsidP="003F4705">
            <w:pPr>
              <w:spacing w:after="0"/>
              <w:rPr>
                <w:rFonts w:cs="Arial"/>
                <w:bCs/>
              </w:rPr>
            </w:pPr>
            <w:r w:rsidRPr="00CA6850">
              <w:rPr>
                <w:rFonts w:cs="Arial"/>
                <w:bCs/>
              </w:rPr>
              <w:t xml:space="preserve">5. Sartre. </w:t>
            </w:r>
            <w:r w:rsidRPr="00CA6850">
              <w:rPr>
                <w:rFonts w:cs="Arial"/>
                <w:bCs/>
                <w:i/>
              </w:rPr>
              <w:t xml:space="preserve">Le </w:t>
            </w:r>
            <w:proofErr w:type="spellStart"/>
            <w:r w:rsidRPr="00CA6850">
              <w:rPr>
                <w:rFonts w:cs="Arial"/>
                <w:bCs/>
                <w:i/>
              </w:rPr>
              <w:t>Diable</w:t>
            </w:r>
            <w:proofErr w:type="spellEnd"/>
            <w:r w:rsidRPr="00CA6850">
              <w:rPr>
                <w:rFonts w:cs="Arial"/>
                <w:bCs/>
                <w:i/>
              </w:rPr>
              <w:t xml:space="preserve"> et le Bon Dieu</w:t>
            </w:r>
            <w:r w:rsidRPr="00CA6850">
              <w:rPr>
                <w:rFonts w:cs="Arial"/>
                <w:bCs/>
              </w:rPr>
              <w:t xml:space="preserve">. </w:t>
            </w:r>
            <w:proofErr w:type="gramStart"/>
            <w:r w:rsidRPr="00CA6850">
              <w:rPr>
                <w:rFonts w:cs="Arial"/>
                <w:bCs/>
              </w:rPr>
              <w:t>Paris :</w:t>
            </w:r>
            <w:proofErr w:type="gramEnd"/>
            <w:r w:rsidRPr="00CA6850">
              <w:rPr>
                <w:rFonts w:cs="Arial"/>
                <w:bCs/>
              </w:rPr>
              <w:t xml:space="preserve"> Gallimard, 1951. </w:t>
            </w:r>
          </w:p>
          <w:p w:rsidR="00B54668" w:rsidRPr="00CA6850" w:rsidRDefault="00B54668" w:rsidP="003F470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D3BF1" w:rsidRPr="00CA685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A685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CA685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A6850" w:rsidRDefault="00690D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CA6850">
              <w:rPr>
                <w:rFonts w:ascii="Candara" w:hAnsi="Candara"/>
              </w:rPr>
              <w:t>Serbian  (</w:t>
            </w:r>
            <w:proofErr w:type="gramEnd"/>
            <w:r w:rsidR="00E1222F" w:rsidRPr="00CA685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A685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131563"/>
                  </w:sdtPr>
                  <w:sdtEndPr/>
                  <w:sdtContent>
                    <w:r w:rsidR="00997BB7" w:rsidRPr="00CA6850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="00CF3AC5" w:rsidRPr="00CA6850">
              <w:rPr>
                <w:rFonts w:ascii="Candara" w:hAnsi="Candara"/>
              </w:rPr>
              <w:t xml:space="preserve">  Other  </w:t>
            </w:r>
            <w:r w:rsidR="00CF3AC5" w:rsidRPr="00CA6850">
              <w:rPr>
                <w:rFonts w:cs="Arial"/>
                <w:b/>
                <w:u w:val="single"/>
              </w:rPr>
              <w:t>French</w:t>
            </w:r>
            <w:r w:rsidR="00E1222F" w:rsidRPr="00CA6850">
              <w:rPr>
                <w:rFonts w:ascii="Candara" w:hAnsi="Candara"/>
              </w:rPr>
              <w:t xml:space="preserve"> (complete course)</w:t>
            </w:r>
          </w:p>
          <w:p w:rsidR="00E47B95" w:rsidRPr="00CA685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CA6850" w:rsidRDefault="00690D3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A6850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CA685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A6850">
              <w:rPr>
                <w:rFonts w:ascii="Candara" w:hAnsi="Candara"/>
              </w:rPr>
              <w:t>Serbian with other mentoring ______________</w:t>
            </w:r>
          </w:p>
          <w:p w:rsidR="00E47B95" w:rsidRPr="00CA685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CA685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A685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CA685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A685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A6850">
              <w:rPr>
                <w:rFonts w:ascii="Candara" w:hAnsi="Candara"/>
                <w:b/>
              </w:rPr>
              <w:t>Pre exam</w:t>
            </w:r>
            <w:proofErr w:type="gramEnd"/>
            <w:r w:rsidRPr="00CA685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A685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A685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A685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points</w:t>
            </w:r>
          </w:p>
        </w:tc>
      </w:tr>
      <w:tr w:rsidR="00D476A5" w:rsidRPr="00CA685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476A5" w:rsidRPr="00CA6850" w:rsidRDefault="00D476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476A5" w:rsidRPr="00CA685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476A5" w:rsidRPr="00CA6850" w:rsidRDefault="00D476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D476A5" w:rsidRPr="00CA685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D476A5" w:rsidRPr="00CA6850" w:rsidRDefault="00D476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476A5" w:rsidRPr="00CA6850" w:rsidRDefault="00D476A5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1F14FA" w:rsidRPr="00CA685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A685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6850">
              <w:rPr>
                <w:rFonts w:ascii="Candara" w:hAnsi="Candara"/>
                <w:b/>
              </w:rPr>
              <w:t>*</w:t>
            </w:r>
            <w:r w:rsidR="001F14FA" w:rsidRPr="00CA6850">
              <w:rPr>
                <w:rFonts w:ascii="Candara" w:hAnsi="Candara"/>
                <w:b/>
              </w:rPr>
              <w:t xml:space="preserve">Final </w:t>
            </w:r>
            <w:r w:rsidRPr="00CA685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CA6850" w:rsidRDefault="00E60599" w:rsidP="00E71A0B">
      <w:pPr>
        <w:ind w:left="1089"/>
      </w:pPr>
    </w:p>
    <w:p w:rsidR="00E60599" w:rsidRPr="00CA6850" w:rsidRDefault="00E60599" w:rsidP="00E71A0B">
      <w:pPr>
        <w:ind w:left="1089"/>
      </w:pPr>
    </w:p>
    <w:p w:rsidR="001F14FA" w:rsidRPr="00CA6850" w:rsidRDefault="001F14FA" w:rsidP="00E71A0B">
      <w:pPr>
        <w:ind w:left="1089"/>
      </w:pPr>
    </w:p>
    <w:sectPr w:rsidR="001F14FA" w:rsidRPr="00CA685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D39" w:rsidRDefault="00690D39" w:rsidP="00864926">
      <w:pPr>
        <w:spacing w:after="0" w:line="240" w:lineRule="auto"/>
      </w:pPr>
      <w:r>
        <w:separator/>
      </w:r>
    </w:p>
  </w:endnote>
  <w:endnote w:type="continuationSeparator" w:id="0">
    <w:p w:rsidR="00690D39" w:rsidRDefault="00690D3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D39" w:rsidRDefault="00690D39" w:rsidP="00864926">
      <w:pPr>
        <w:spacing w:after="0" w:line="240" w:lineRule="auto"/>
      </w:pPr>
      <w:r>
        <w:separator/>
      </w:r>
    </w:p>
  </w:footnote>
  <w:footnote w:type="continuationSeparator" w:id="0">
    <w:p w:rsidR="00690D39" w:rsidRDefault="00690D3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64EF"/>
    <w:rsid w:val="00315601"/>
    <w:rsid w:val="00323176"/>
    <w:rsid w:val="003953BC"/>
    <w:rsid w:val="003B32A9"/>
    <w:rsid w:val="003C177A"/>
    <w:rsid w:val="003E04B3"/>
    <w:rsid w:val="003E3E90"/>
    <w:rsid w:val="003F4705"/>
    <w:rsid w:val="00406F80"/>
    <w:rsid w:val="00431EFA"/>
    <w:rsid w:val="00493925"/>
    <w:rsid w:val="004D1C7E"/>
    <w:rsid w:val="004E562D"/>
    <w:rsid w:val="004F55EA"/>
    <w:rsid w:val="004F6085"/>
    <w:rsid w:val="0051410F"/>
    <w:rsid w:val="00524120"/>
    <w:rsid w:val="0055093E"/>
    <w:rsid w:val="005A5D38"/>
    <w:rsid w:val="005B0885"/>
    <w:rsid w:val="005B4A41"/>
    <w:rsid w:val="005B64BF"/>
    <w:rsid w:val="005D46D7"/>
    <w:rsid w:val="00603117"/>
    <w:rsid w:val="00614267"/>
    <w:rsid w:val="00634FEA"/>
    <w:rsid w:val="0065040F"/>
    <w:rsid w:val="0069043C"/>
    <w:rsid w:val="00690D39"/>
    <w:rsid w:val="006E40AE"/>
    <w:rsid w:val="006F647C"/>
    <w:rsid w:val="00783C57"/>
    <w:rsid w:val="00792CB4"/>
    <w:rsid w:val="00832542"/>
    <w:rsid w:val="008409CE"/>
    <w:rsid w:val="00864926"/>
    <w:rsid w:val="00877CE2"/>
    <w:rsid w:val="008A2AF2"/>
    <w:rsid w:val="008A30CE"/>
    <w:rsid w:val="008B1D6B"/>
    <w:rsid w:val="008C31B7"/>
    <w:rsid w:val="008F6891"/>
    <w:rsid w:val="00911529"/>
    <w:rsid w:val="00932B21"/>
    <w:rsid w:val="00972302"/>
    <w:rsid w:val="009723ED"/>
    <w:rsid w:val="009841BB"/>
    <w:rsid w:val="00986489"/>
    <w:rsid w:val="009906EA"/>
    <w:rsid w:val="00997BB7"/>
    <w:rsid w:val="009D3F5E"/>
    <w:rsid w:val="009F3F9F"/>
    <w:rsid w:val="00A10286"/>
    <w:rsid w:val="00A1335D"/>
    <w:rsid w:val="00A6310E"/>
    <w:rsid w:val="00A83787"/>
    <w:rsid w:val="00AF47A6"/>
    <w:rsid w:val="00B37EB0"/>
    <w:rsid w:val="00B50491"/>
    <w:rsid w:val="00B54668"/>
    <w:rsid w:val="00B9521A"/>
    <w:rsid w:val="00BB666E"/>
    <w:rsid w:val="00BD3504"/>
    <w:rsid w:val="00BE09FC"/>
    <w:rsid w:val="00C20820"/>
    <w:rsid w:val="00C63234"/>
    <w:rsid w:val="00CA6850"/>
    <w:rsid w:val="00CA6D81"/>
    <w:rsid w:val="00CC23C3"/>
    <w:rsid w:val="00CD17F1"/>
    <w:rsid w:val="00CF18BC"/>
    <w:rsid w:val="00CF3AC5"/>
    <w:rsid w:val="00D476A5"/>
    <w:rsid w:val="00D92F39"/>
    <w:rsid w:val="00DB43CC"/>
    <w:rsid w:val="00E1222F"/>
    <w:rsid w:val="00E24CE1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377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FB7E"/>
  <w15:docId w15:val="{3479BF1E-85D4-4835-8091-3569B5DA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FB42-12DF-4330-82C6-EF10AD2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2017-03-16T19:28:00Z</dcterms:created>
  <dcterms:modified xsi:type="dcterms:W3CDTF">2018-05-16T10:32:00Z</dcterms:modified>
</cp:coreProperties>
</file>