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519"/>
        <w:gridCol w:w="66"/>
        <w:gridCol w:w="851"/>
        <w:gridCol w:w="2143"/>
        <w:gridCol w:w="3060"/>
      </w:tblGrid>
      <w:tr w:rsidR="005C2316" w:rsidRPr="00B54668" w:rsidTr="00A667CA">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5C2316" w:rsidRPr="00A667CA" w:rsidRDefault="005C2316" w:rsidP="00A667CA">
            <w:pPr>
              <w:spacing w:line="240" w:lineRule="auto"/>
              <w:jc w:val="left"/>
              <w:rPr>
                <w:rFonts w:ascii="Candara" w:hAnsi="Candara"/>
                <w:b/>
                <w:sz w:val="36"/>
                <w:szCs w:val="36"/>
              </w:rPr>
            </w:pPr>
            <w:r w:rsidRPr="00E12AC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A667CA">
              <w:rPr>
                <w:rFonts w:ascii="Candara" w:hAnsi="Candara"/>
                <w:b/>
                <w:sz w:val="36"/>
                <w:szCs w:val="36"/>
              </w:rPr>
              <w:t xml:space="preserve">                         UNIVERSITY OF NIŠ</w:t>
            </w:r>
          </w:p>
          <w:p w:rsidR="005C2316" w:rsidRPr="00A667CA" w:rsidRDefault="005C2316" w:rsidP="00A667CA">
            <w:pPr>
              <w:spacing w:line="240" w:lineRule="auto"/>
              <w:jc w:val="left"/>
              <w:rPr>
                <w:rFonts w:ascii="Candara" w:hAnsi="Candara"/>
              </w:rPr>
            </w:pPr>
          </w:p>
        </w:tc>
      </w:tr>
      <w:tr w:rsidR="005C2316" w:rsidRPr="00B54668" w:rsidTr="00A667CA">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5C2316" w:rsidRPr="00A667CA" w:rsidRDefault="005C2316" w:rsidP="00A667CA">
            <w:pPr>
              <w:spacing w:line="240" w:lineRule="auto"/>
              <w:contextualSpacing/>
              <w:rPr>
                <w:rFonts w:ascii="Candara" w:hAnsi="Candara"/>
                <w:b/>
                <w:sz w:val="36"/>
                <w:szCs w:val="36"/>
              </w:rPr>
            </w:pPr>
            <w:r w:rsidRPr="00A667CA">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5C2316" w:rsidRPr="00A667CA" w:rsidRDefault="005C2316" w:rsidP="00A667CA">
            <w:pPr>
              <w:spacing w:line="240" w:lineRule="auto"/>
              <w:contextualSpacing/>
              <w:jc w:val="left"/>
              <w:rPr>
                <w:rStyle w:val="CommentReference"/>
                <w:sz w:val="36"/>
                <w:szCs w:val="36"/>
              </w:rPr>
            </w:pPr>
            <w:r w:rsidRPr="00A667CA">
              <w:rPr>
                <w:rFonts w:ascii="Candara" w:hAnsi="Candara"/>
                <w:b/>
                <w:sz w:val="36"/>
                <w:szCs w:val="36"/>
              </w:rPr>
              <w:t>Faculty</w:t>
            </w:r>
            <w:r w:rsidRPr="00A667CA">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5C2316" w:rsidRPr="00431BAC" w:rsidRDefault="005C2316" w:rsidP="00A667CA">
            <w:pPr>
              <w:suppressAutoHyphens w:val="0"/>
              <w:spacing w:after="200" w:line="276" w:lineRule="auto"/>
              <w:jc w:val="left"/>
              <w:rPr>
                <w:rFonts w:ascii="Candara" w:hAnsi="Candara"/>
                <w:sz w:val="32"/>
                <w:szCs w:val="32"/>
              </w:rPr>
            </w:pPr>
            <w:r w:rsidRPr="00431BAC">
              <w:rPr>
                <w:rFonts w:ascii="Candara" w:hAnsi="Candara"/>
                <w:sz w:val="32"/>
                <w:szCs w:val="32"/>
              </w:rPr>
              <w:t>Faculty of Occupational Safety in Niš</w:t>
            </w:r>
          </w:p>
        </w:tc>
      </w:tr>
      <w:tr w:rsidR="005C2316" w:rsidRPr="00B54668" w:rsidTr="00A667CA">
        <w:trPr>
          <w:trHeight w:val="529"/>
        </w:trPr>
        <w:tc>
          <w:tcPr>
            <w:tcW w:w="10440" w:type="dxa"/>
            <w:gridSpan w:val="7"/>
            <w:tcBorders>
              <w:top w:val="double" w:sz="4" w:space="0" w:color="auto"/>
            </w:tcBorders>
            <w:shd w:val="clear" w:color="auto" w:fill="B8CCE4"/>
            <w:vAlign w:val="center"/>
          </w:tcPr>
          <w:p w:rsidR="005C2316" w:rsidRPr="00A667CA" w:rsidRDefault="005C2316" w:rsidP="00A667CA">
            <w:pPr>
              <w:spacing w:line="240" w:lineRule="auto"/>
              <w:contextualSpacing/>
              <w:rPr>
                <w:rFonts w:ascii="Candara" w:hAnsi="Candara"/>
                <w:b/>
              </w:rPr>
            </w:pPr>
            <w:r w:rsidRPr="00A667CA">
              <w:rPr>
                <w:rFonts w:ascii="Candara" w:hAnsi="Candara"/>
                <w:b/>
              </w:rPr>
              <w:t>GENERAL INFORMATION</w:t>
            </w:r>
          </w:p>
        </w:tc>
      </w:tr>
      <w:tr w:rsidR="005C2316" w:rsidRPr="00B54668" w:rsidTr="00A667CA">
        <w:trPr>
          <w:trHeight w:val="562"/>
        </w:trPr>
        <w:tc>
          <w:tcPr>
            <w:tcW w:w="4386" w:type="dxa"/>
            <w:gridSpan w:val="4"/>
            <w:vAlign w:val="center"/>
          </w:tcPr>
          <w:p w:rsidR="005C2316" w:rsidRPr="00A667CA" w:rsidRDefault="005C2316" w:rsidP="00A667CA">
            <w:pPr>
              <w:spacing w:line="240" w:lineRule="auto"/>
              <w:contextualSpacing/>
              <w:jc w:val="left"/>
              <w:rPr>
                <w:rFonts w:ascii="Candara" w:hAnsi="Candara"/>
              </w:rPr>
            </w:pPr>
            <w:r w:rsidRPr="00A667CA">
              <w:rPr>
                <w:rFonts w:ascii="Candara" w:hAnsi="Candara"/>
              </w:rPr>
              <w:t xml:space="preserve">Study program </w:t>
            </w:r>
          </w:p>
        </w:tc>
        <w:tc>
          <w:tcPr>
            <w:tcW w:w="6054" w:type="dxa"/>
            <w:gridSpan w:val="3"/>
            <w:vAlign w:val="center"/>
          </w:tcPr>
          <w:p w:rsidR="005C2316" w:rsidRPr="00431BAC" w:rsidRDefault="005C2316" w:rsidP="00A667CA">
            <w:pPr>
              <w:spacing w:line="240" w:lineRule="auto"/>
              <w:contextualSpacing/>
              <w:jc w:val="left"/>
              <w:rPr>
                <w:rFonts w:ascii="Candara" w:hAnsi="Candara"/>
                <w:sz w:val="24"/>
                <w:szCs w:val="24"/>
              </w:rPr>
            </w:pPr>
            <w:r w:rsidRPr="00431BAC">
              <w:rPr>
                <w:rFonts w:ascii="Candara" w:hAnsi="Candara"/>
                <w:sz w:val="24"/>
                <w:szCs w:val="24"/>
              </w:rPr>
              <w:t>Environmental Engineering</w:t>
            </w:r>
          </w:p>
        </w:tc>
      </w:tr>
      <w:tr w:rsidR="005C2316" w:rsidRPr="00B54668" w:rsidTr="00A667CA">
        <w:trPr>
          <w:trHeight w:val="562"/>
        </w:trPr>
        <w:tc>
          <w:tcPr>
            <w:tcW w:w="4386" w:type="dxa"/>
            <w:gridSpan w:val="4"/>
            <w:vAlign w:val="center"/>
          </w:tcPr>
          <w:p w:rsidR="005C2316" w:rsidRPr="00A667CA" w:rsidRDefault="005C2316" w:rsidP="00A667CA">
            <w:pPr>
              <w:spacing w:line="240" w:lineRule="auto"/>
              <w:contextualSpacing/>
              <w:jc w:val="left"/>
              <w:rPr>
                <w:rFonts w:ascii="Candara" w:hAnsi="Candara"/>
              </w:rPr>
            </w:pPr>
            <w:r w:rsidRPr="00A667CA">
              <w:rPr>
                <w:rFonts w:ascii="Candara" w:hAnsi="Candara"/>
              </w:rPr>
              <w:t>Study Module  (if applicable)</w:t>
            </w:r>
          </w:p>
        </w:tc>
        <w:tc>
          <w:tcPr>
            <w:tcW w:w="6054" w:type="dxa"/>
            <w:gridSpan w:val="3"/>
            <w:vAlign w:val="center"/>
          </w:tcPr>
          <w:p w:rsidR="005C2316" w:rsidRPr="00A667CA" w:rsidRDefault="005C2316" w:rsidP="00A667CA">
            <w:pPr>
              <w:spacing w:line="240" w:lineRule="auto"/>
              <w:contextualSpacing/>
              <w:jc w:val="left"/>
              <w:rPr>
                <w:rFonts w:ascii="Candara" w:hAnsi="Candara"/>
              </w:rPr>
            </w:pPr>
            <w:r w:rsidRPr="00A667CA">
              <w:rPr>
                <w:rFonts w:ascii="Candara" w:hAnsi="Candara"/>
              </w:rPr>
              <w:t>/</w:t>
            </w:r>
          </w:p>
        </w:tc>
      </w:tr>
      <w:tr w:rsidR="005C2316" w:rsidRPr="00B54668" w:rsidTr="00A667CA">
        <w:trPr>
          <w:trHeight w:val="562"/>
        </w:trPr>
        <w:tc>
          <w:tcPr>
            <w:tcW w:w="4386" w:type="dxa"/>
            <w:gridSpan w:val="4"/>
            <w:vAlign w:val="center"/>
          </w:tcPr>
          <w:p w:rsidR="005C2316" w:rsidRPr="00A667CA" w:rsidRDefault="005C2316" w:rsidP="00A667CA">
            <w:pPr>
              <w:spacing w:line="240" w:lineRule="auto"/>
              <w:contextualSpacing/>
              <w:jc w:val="left"/>
              <w:rPr>
                <w:rFonts w:ascii="Candara" w:hAnsi="Candara"/>
              </w:rPr>
            </w:pPr>
            <w:r w:rsidRPr="00A667CA">
              <w:rPr>
                <w:rFonts w:ascii="Candara" w:hAnsi="Candara"/>
              </w:rPr>
              <w:t>Course title</w:t>
            </w:r>
          </w:p>
        </w:tc>
        <w:tc>
          <w:tcPr>
            <w:tcW w:w="6054" w:type="dxa"/>
            <w:gridSpan w:val="3"/>
            <w:vAlign w:val="center"/>
          </w:tcPr>
          <w:p w:rsidR="005C2316" w:rsidRPr="00A06B0A" w:rsidRDefault="005C2316" w:rsidP="00A06B0A">
            <w:pPr>
              <w:spacing w:line="240" w:lineRule="auto"/>
              <w:contextualSpacing/>
              <w:jc w:val="left"/>
              <w:rPr>
                <w:rFonts w:ascii="Candara" w:hAnsi="Candara"/>
              </w:rPr>
            </w:pPr>
            <w:r w:rsidRPr="00A06B0A">
              <w:rPr>
                <w:rFonts w:ascii="Candara" w:hAnsi="Candara"/>
              </w:rPr>
              <w:t>E</w:t>
            </w:r>
            <w:r>
              <w:rPr>
                <w:rFonts w:ascii="Candara" w:hAnsi="Candara"/>
              </w:rPr>
              <w:t>nergy Processes in the Living Environment</w:t>
            </w:r>
          </w:p>
        </w:tc>
      </w:tr>
      <w:tr w:rsidR="005C2316" w:rsidRPr="00B54668" w:rsidTr="00A667CA">
        <w:trPr>
          <w:trHeight w:val="562"/>
        </w:trPr>
        <w:tc>
          <w:tcPr>
            <w:tcW w:w="4386" w:type="dxa"/>
            <w:gridSpan w:val="4"/>
            <w:vAlign w:val="center"/>
          </w:tcPr>
          <w:p w:rsidR="005C2316" w:rsidRPr="00A667CA" w:rsidRDefault="005C2316" w:rsidP="00A667CA">
            <w:pPr>
              <w:spacing w:line="240" w:lineRule="auto"/>
              <w:contextualSpacing/>
              <w:jc w:val="left"/>
              <w:rPr>
                <w:rFonts w:ascii="Candara" w:hAnsi="Candara"/>
              </w:rPr>
            </w:pPr>
            <w:r w:rsidRPr="00A667CA">
              <w:rPr>
                <w:rFonts w:ascii="Candara" w:hAnsi="Candara"/>
              </w:rPr>
              <w:t>Level of study</w:t>
            </w:r>
          </w:p>
        </w:tc>
        <w:tc>
          <w:tcPr>
            <w:tcW w:w="6054" w:type="dxa"/>
            <w:gridSpan w:val="3"/>
            <w:vAlign w:val="center"/>
          </w:tcPr>
          <w:p w:rsidR="005C2316" w:rsidRPr="00A667CA" w:rsidRDefault="005C2316" w:rsidP="00A667CA">
            <w:pPr>
              <w:spacing w:line="240" w:lineRule="auto"/>
              <w:contextualSpacing/>
              <w:jc w:val="left"/>
              <w:rPr>
                <w:rFonts w:ascii="Candara" w:hAnsi="Candara"/>
              </w:rPr>
            </w:pPr>
            <w:r w:rsidRPr="00A667CA">
              <w:rPr>
                <w:rFonts w:ascii="MS Gothic" w:eastAsia="MS Gothic" w:hAnsi="MS Gothic" w:hint="eastAsia"/>
              </w:rPr>
              <w:t>☐</w:t>
            </w:r>
            <w:r w:rsidRPr="00A667CA">
              <w:rPr>
                <w:rFonts w:ascii="Candara" w:hAnsi="Candara"/>
              </w:rPr>
              <w:t xml:space="preserve">Bachelor               </w:t>
            </w:r>
            <w:r w:rsidRPr="00A667CA">
              <w:rPr>
                <w:rFonts w:ascii="MS Gothic" w:eastAsia="MS Gothic" w:hAnsi="MS Gothic" w:hint="eastAsia"/>
              </w:rPr>
              <w:t>☐</w:t>
            </w:r>
            <w:r w:rsidRPr="00A667CA">
              <w:rPr>
                <w:rFonts w:ascii="Candara" w:hAnsi="Candara"/>
              </w:rPr>
              <w:t xml:space="preserve"> Master’s                   </w:t>
            </w:r>
            <w:r w:rsidRPr="00A667CA">
              <w:rPr>
                <w:rFonts w:ascii="MS Gothic" w:eastAsia="MS Gothic" w:hAnsi="MS Gothic" w:hint="eastAsia"/>
              </w:rPr>
              <w:t>☒</w:t>
            </w:r>
            <w:r w:rsidRPr="00A667CA">
              <w:rPr>
                <w:rFonts w:ascii="Candara" w:hAnsi="Candara"/>
              </w:rPr>
              <w:t xml:space="preserve"> Doctoral</w:t>
            </w:r>
          </w:p>
        </w:tc>
      </w:tr>
      <w:tr w:rsidR="005C2316" w:rsidRPr="00B54668" w:rsidTr="00A667CA">
        <w:trPr>
          <w:trHeight w:val="562"/>
        </w:trPr>
        <w:tc>
          <w:tcPr>
            <w:tcW w:w="4386" w:type="dxa"/>
            <w:gridSpan w:val="4"/>
            <w:vAlign w:val="center"/>
          </w:tcPr>
          <w:p w:rsidR="005C2316" w:rsidRPr="00A667CA" w:rsidRDefault="005C2316" w:rsidP="00A667CA">
            <w:pPr>
              <w:spacing w:line="240" w:lineRule="auto"/>
              <w:contextualSpacing/>
              <w:jc w:val="left"/>
              <w:rPr>
                <w:rFonts w:ascii="Candara" w:hAnsi="Candara"/>
              </w:rPr>
            </w:pPr>
            <w:r w:rsidRPr="00A667CA">
              <w:rPr>
                <w:rFonts w:ascii="Candara" w:hAnsi="Candara"/>
              </w:rPr>
              <w:t>Type of course</w:t>
            </w:r>
          </w:p>
        </w:tc>
        <w:tc>
          <w:tcPr>
            <w:tcW w:w="6054" w:type="dxa"/>
            <w:gridSpan w:val="3"/>
            <w:vAlign w:val="center"/>
          </w:tcPr>
          <w:p w:rsidR="005C2316" w:rsidRPr="00A667CA" w:rsidRDefault="005C2316" w:rsidP="00A667CA">
            <w:pPr>
              <w:spacing w:line="240" w:lineRule="auto"/>
              <w:contextualSpacing/>
              <w:jc w:val="left"/>
              <w:rPr>
                <w:rFonts w:ascii="Candara" w:hAnsi="Candara"/>
              </w:rPr>
            </w:pPr>
            <w:r w:rsidRPr="00A667CA">
              <w:rPr>
                <w:rFonts w:ascii="MS Gothic" w:eastAsia="MS Gothic" w:hAnsi="MS Gothic" w:hint="eastAsia"/>
              </w:rPr>
              <w:t>☐</w:t>
            </w:r>
            <w:r w:rsidRPr="00A667CA">
              <w:rPr>
                <w:rFonts w:ascii="Candara" w:hAnsi="Candara"/>
              </w:rPr>
              <w:t xml:space="preserve"> Obligatory                 </w:t>
            </w:r>
            <w:r w:rsidRPr="00A667CA">
              <w:rPr>
                <w:rFonts w:ascii="MS Gothic" w:eastAsia="MS Gothic" w:hAnsi="MS Gothic" w:hint="eastAsia"/>
              </w:rPr>
              <w:t>☒</w:t>
            </w:r>
            <w:r w:rsidRPr="00A667CA">
              <w:rPr>
                <w:rFonts w:ascii="Candara" w:hAnsi="Candara"/>
              </w:rPr>
              <w:t xml:space="preserve"> Elective</w:t>
            </w:r>
          </w:p>
        </w:tc>
      </w:tr>
      <w:tr w:rsidR="005C2316" w:rsidRPr="00B54668" w:rsidTr="00A667CA">
        <w:trPr>
          <w:trHeight w:val="562"/>
        </w:trPr>
        <w:tc>
          <w:tcPr>
            <w:tcW w:w="4386" w:type="dxa"/>
            <w:gridSpan w:val="4"/>
            <w:vAlign w:val="center"/>
          </w:tcPr>
          <w:p w:rsidR="005C2316" w:rsidRPr="00A667CA" w:rsidRDefault="005C2316" w:rsidP="00A667CA">
            <w:pPr>
              <w:suppressAutoHyphens w:val="0"/>
              <w:spacing w:after="0" w:line="240" w:lineRule="auto"/>
              <w:contextualSpacing/>
              <w:jc w:val="left"/>
              <w:rPr>
                <w:rFonts w:ascii="Candara" w:hAnsi="Candara" w:cs="Arial"/>
                <w:lang w:val="en-US"/>
              </w:rPr>
            </w:pPr>
            <w:r w:rsidRPr="00A667CA">
              <w:rPr>
                <w:rFonts w:ascii="Candara" w:hAnsi="Candara"/>
              </w:rPr>
              <w:t xml:space="preserve">Semester </w:t>
            </w:r>
            <w:r w:rsidRPr="00A667CA">
              <w:rPr>
                <w:rFonts w:ascii="Candara" w:hAnsi="Candara" w:cs="Arial"/>
                <w:lang w:val="en-US"/>
              </w:rPr>
              <w:t xml:space="preserve"> </w:t>
            </w:r>
          </w:p>
        </w:tc>
        <w:tc>
          <w:tcPr>
            <w:tcW w:w="6054" w:type="dxa"/>
            <w:gridSpan w:val="3"/>
            <w:vAlign w:val="center"/>
          </w:tcPr>
          <w:p w:rsidR="005C2316" w:rsidRPr="00D078AD" w:rsidRDefault="005C2316" w:rsidP="00A667CA">
            <w:pPr>
              <w:suppressAutoHyphens w:val="0"/>
              <w:spacing w:after="0" w:line="240" w:lineRule="auto"/>
              <w:contextualSpacing/>
              <w:jc w:val="left"/>
              <w:rPr>
                <w:rFonts w:ascii="Candara" w:hAnsi="Candara" w:cs="Arial"/>
                <w:lang w:val="en-US"/>
              </w:rPr>
            </w:pPr>
            <w:r w:rsidRPr="00A667CA">
              <w:rPr>
                <w:rFonts w:ascii="MS Gothic" w:eastAsia="MS Gothic" w:hAnsi="MS Gothic" w:hint="eastAsia"/>
              </w:rPr>
              <w:t>☒</w:t>
            </w:r>
            <w:r>
              <w:rPr>
                <w:rFonts w:ascii="MS Gothic" w:eastAsia="MS Gothic" w:hAnsi="MS Gothic"/>
              </w:rPr>
              <w:t xml:space="preserve"> </w:t>
            </w:r>
            <w:r w:rsidRPr="00D078AD">
              <w:rPr>
                <w:rFonts w:ascii="Candara" w:hAnsi="Candara" w:cs="Arial"/>
                <w:lang w:val="en-US"/>
              </w:rPr>
              <w:t xml:space="preserve">Autumn                     </w:t>
            </w:r>
            <w:r w:rsidRPr="00D078AD">
              <w:rPr>
                <w:rFonts w:ascii="MS Gothic" w:eastAsia="MS Gothic" w:hAnsi="MS Gothic" w:cs="Arial" w:hint="eastAsia"/>
                <w:lang w:val="en-US"/>
              </w:rPr>
              <w:t>☐</w:t>
            </w:r>
            <w:r w:rsidRPr="00D078AD">
              <w:rPr>
                <w:rFonts w:ascii="Candara" w:hAnsi="Candara" w:cs="Arial"/>
                <w:lang w:val="en-US"/>
              </w:rPr>
              <w:t>Spring</w:t>
            </w:r>
          </w:p>
        </w:tc>
      </w:tr>
      <w:tr w:rsidR="005C2316" w:rsidRPr="00B54668" w:rsidTr="00A667CA">
        <w:trPr>
          <w:trHeight w:val="562"/>
        </w:trPr>
        <w:tc>
          <w:tcPr>
            <w:tcW w:w="4386" w:type="dxa"/>
            <w:gridSpan w:val="4"/>
            <w:vAlign w:val="center"/>
          </w:tcPr>
          <w:p w:rsidR="005C2316" w:rsidRPr="00A667CA" w:rsidRDefault="005C2316" w:rsidP="00A667CA">
            <w:pPr>
              <w:spacing w:line="240" w:lineRule="auto"/>
              <w:contextualSpacing/>
              <w:jc w:val="left"/>
              <w:rPr>
                <w:rFonts w:ascii="Candara" w:hAnsi="Candara"/>
              </w:rPr>
            </w:pPr>
            <w:r w:rsidRPr="00A667CA">
              <w:rPr>
                <w:rFonts w:ascii="Candara" w:hAnsi="Candara"/>
              </w:rPr>
              <w:t xml:space="preserve">Year of study </w:t>
            </w:r>
          </w:p>
        </w:tc>
        <w:tc>
          <w:tcPr>
            <w:tcW w:w="6054" w:type="dxa"/>
            <w:gridSpan w:val="3"/>
            <w:vAlign w:val="center"/>
          </w:tcPr>
          <w:p w:rsidR="005C2316" w:rsidRPr="00A667CA" w:rsidRDefault="005C2316" w:rsidP="00A667CA">
            <w:pPr>
              <w:spacing w:line="240" w:lineRule="auto"/>
              <w:contextualSpacing/>
              <w:jc w:val="left"/>
              <w:rPr>
                <w:rFonts w:ascii="Candara" w:hAnsi="Candara"/>
              </w:rPr>
            </w:pPr>
            <w:r>
              <w:rPr>
                <w:rFonts w:ascii="Candara" w:hAnsi="Candara"/>
              </w:rPr>
              <w:t>Second year</w:t>
            </w:r>
          </w:p>
        </w:tc>
      </w:tr>
      <w:tr w:rsidR="005C2316" w:rsidRPr="00B54668" w:rsidTr="00A667CA">
        <w:trPr>
          <w:trHeight w:val="562"/>
        </w:trPr>
        <w:tc>
          <w:tcPr>
            <w:tcW w:w="4386" w:type="dxa"/>
            <w:gridSpan w:val="4"/>
            <w:vAlign w:val="center"/>
          </w:tcPr>
          <w:p w:rsidR="005C2316" w:rsidRPr="00A667CA" w:rsidRDefault="005C2316" w:rsidP="00A667CA">
            <w:pPr>
              <w:spacing w:line="240" w:lineRule="auto"/>
              <w:contextualSpacing/>
              <w:jc w:val="left"/>
              <w:rPr>
                <w:rFonts w:ascii="Candara" w:hAnsi="Candara"/>
              </w:rPr>
            </w:pPr>
            <w:r w:rsidRPr="00A667CA">
              <w:rPr>
                <w:rFonts w:ascii="Candara" w:hAnsi="Candara"/>
              </w:rPr>
              <w:t>Number of ECTS allocated</w:t>
            </w:r>
          </w:p>
        </w:tc>
        <w:tc>
          <w:tcPr>
            <w:tcW w:w="6054" w:type="dxa"/>
            <w:gridSpan w:val="3"/>
            <w:vAlign w:val="center"/>
          </w:tcPr>
          <w:p w:rsidR="005C2316" w:rsidRPr="00A667CA" w:rsidRDefault="005C2316" w:rsidP="00A667CA">
            <w:pPr>
              <w:spacing w:line="240" w:lineRule="auto"/>
              <w:contextualSpacing/>
              <w:jc w:val="left"/>
              <w:rPr>
                <w:rFonts w:ascii="Candara" w:hAnsi="Candara"/>
              </w:rPr>
            </w:pPr>
            <w:r>
              <w:rPr>
                <w:rFonts w:ascii="Candara" w:hAnsi="Candara"/>
              </w:rPr>
              <w:t>10</w:t>
            </w:r>
          </w:p>
        </w:tc>
      </w:tr>
      <w:tr w:rsidR="005C2316" w:rsidRPr="00B54668" w:rsidTr="00A667CA">
        <w:trPr>
          <w:trHeight w:val="562"/>
        </w:trPr>
        <w:tc>
          <w:tcPr>
            <w:tcW w:w="4386" w:type="dxa"/>
            <w:gridSpan w:val="4"/>
            <w:vAlign w:val="center"/>
          </w:tcPr>
          <w:p w:rsidR="005C2316" w:rsidRPr="00A667CA" w:rsidRDefault="005C2316" w:rsidP="00A667CA">
            <w:pPr>
              <w:spacing w:line="240" w:lineRule="auto"/>
              <w:contextualSpacing/>
              <w:jc w:val="left"/>
              <w:rPr>
                <w:rFonts w:ascii="Candara" w:hAnsi="Candara"/>
              </w:rPr>
            </w:pPr>
            <w:r w:rsidRPr="00A667CA">
              <w:rPr>
                <w:rFonts w:ascii="Candara" w:hAnsi="Candara"/>
              </w:rPr>
              <w:t>Name of lecturer/lecturers</w:t>
            </w:r>
          </w:p>
        </w:tc>
        <w:tc>
          <w:tcPr>
            <w:tcW w:w="6054" w:type="dxa"/>
            <w:gridSpan w:val="3"/>
            <w:vAlign w:val="center"/>
          </w:tcPr>
          <w:p w:rsidR="005C2316" w:rsidRPr="00A667CA" w:rsidRDefault="005C2316" w:rsidP="00A9385A">
            <w:pPr>
              <w:spacing w:line="240" w:lineRule="auto"/>
              <w:contextualSpacing/>
              <w:jc w:val="left"/>
              <w:rPr>
                <w:rFonts w:ascii="Candara" w:hAnsi="Candara"/>
              </w:rPr>
            </w:pPr>
            <w:r>
              <w:rPr>
                <w:rFonts w:ascii="Candara" w:hAnsi="Candara"/>
              </w:rPr>
              <w:t>Ljiljana Živković, Miomir Raos</w:t>
            </w:r>
          </w:p>
        </w:tc>
      </w:tr>
      <w:tr w:rsidR="005C2316" w:rsidRPr="00D20CB2" w:rsidTr="00A667CA">
        <w:trPr>
          <w:trHeight w:val="562"/>
        </w:trPr>
        <w:tc>
          <w:tcPr>
            <w:tcW w:w="4386" w:type="dxa"/>
            <w:gridSpan w:val="4"/>
            <w:vAlign w:val="center"/>
          </w:tcPr>
          <w:p w:rsidR="005C2316" w:rsidRPr="00D20CB2" w:rsidRDefault="005C2316" w:rsidP="00A667CA">
            <w:pPr>
              <w:spacing w:line="240" w:lineRule="auto"/>
              <w:contextualSpacing/>
              <w:jc w:val="left"/>
              <w:rPr>
                <w:rFonts w:ascii="Candara" w:hAnsi="Candara"/>
              </w:rPr>
            </w:pPr>
            <w:r w:rsidRPr="00D20CB2">
              <w:rPr>
                <w:rFonts w:ascii="Candara" w:hAnsi="Candara"/>
              </w:rPr>
              <w:t>Teaching mode</w:t>
            </w:r>
          </w:p>
        </w:tc>
        <w:tc>
          <w:tcPr>
            <w:tcW w:w="6054" w:type="dxa"/>
            <w:gridSpan w:val="3"/>
            <w:vAlign w:val="center"/>
          </w:tcPr>
          <w:p w:rsidR="005C2316" w:rsidRPr="00D20CB2" w:rsidRDefault="005C2316" w:rsidP="00A667CA">
            <w:pPr>
              <w:spacing w:line="240" w:lineRule="auto"/>
              <w:contextualSpacing/>
              <w:jc w:val="left"/>
              <w:rPr>
                <w:rFonts w:ascii="Candara" w:hAnsi="Candara"/>
              </w:rPr>
            </w:pPr>
            <w:r w:rsidRPr="00D20CB2">
              <w:rPr>
                <w:rFonts w:ascii="Candara" w:hAnsi="Candara"/>
              </w:rPr>
              <w:t xml:space="preserve"> </w:t>
            </w:r>
            <w:r w:rsidRPr="00D20CB2">
              <w:rPr>
                <w:rFonts w:ascii="MS Gothic" w:eastAsia="MS Gothic" w:hAnsi="MS Gothic" w:hint="eastAsia"/>
              </w:rPr>
              <w:t>☒</w:t>
            </w:r>
            <w:r w:rsidRPr="00D20CB2">
              <w:rPr>
                <w:rFonts w:ascii="Candara" w:hAnsi="Candara"/>
              </w:rPr>
              <w:t xml:space="preserve">Lectures                     </w:t>
            </w:r>
            <w:r w:rsidRPr="00D20CB2">
              <w:rPr>
                <w:rFonts w:ascii="MS Gothic" w:eastAsia="MS Gothic" w:hAnsi="MS Gothic" w:hint="eastAsia"/>
              </w:rPr>
              <w:t>☐</w:t>
            </w:r>
            <w:r w:rsidRPr="00D20CB2">
              <w:rPr>
                <w:rFonts w:ascii="Candara" w:hAnsi="Candara"/>
              </w:rPr>
              <w:t xml:space="preserve">Group tutorials         </w:t>
            </w:r>
            <w:r w:rsidRPr="00D20CB2">
              <w:rPr>
                <w:rFonts w:ascii="MS Gothic" w:eastAsia="MS Gothic" w:hAnsi="MS Gothic" w:hint="eastAsia"/>
              </w:rPr>
              <w:t>☒</w:t>
            </w:r>
            <w:r w:rsidRPr="00D20CB2">
              <w:rPr>
                <w:rFonts w:ascii="Candara" w:hAnsi="Candara"/>
              </w:rPr>
              <w:t xml:space="preserve"> Individual tutorials</w:t>
            </w:r>
          </w:p>
          <w:p w:rsidR="005C2316" w:rsidRPr="00D20CB2" w:rsidRDefault="005C2316" w:rsidP="00A667CA">
            <w:pPr>
              <w:spacing w:line="240" w:lineRule="auto"/>
              <w:contextualSpacing/>
              <w:jc w:val="left"/>
              <w:rPr>
                <w:rFonts w:ascii="Candara" w:hAnsi="Candara"/>
              </w:rPr>
            </w:pPr>
            <w:r w:rsidRPr="00D20CB2">
              <w:rPr>
                <w:rFonts w:ascii="Candara" w:hAnsi="Candara"/>
              </w:rPr>
              <w:t xml:space="preserve"> </w:t>
            </w:r>
            <w:r w:rsidRPr="00D20CB2">
              <w:rPr>
                <w:rFonts w:ascii="MS Gothic" w:eastAsia="MS Gothic" w:hAnsi="MS Gothic" w:hint="eastAsia"/>
              </w:rPr>
              <w:t>☐</w:t>
            </w:r>
            <w:r w:rsidRPr="00D20CB2">
              <w:rPr>
                <w:rFonts w:ascii="Candara" w:hAnsi="Candara"/>
              </w:rPr>
              <w:t xml:space="preserve">Laboratory work     </w:t>
            </w:r>
            <w:r w:rsidRPr="00D20CB2">
              <w:rPr>
                <w:rFonts w:ascii="MS Gothic" w:eastAsia="MS Gothic" w:hAnsi="MS Gothic" w:hint="eastAsia"/>
              </w:rPr>
              <w:t>☐</w:t>
            </w:r>
            <w:r w:rsidRPr="00D20CB2">
              <w:rPr>
                <w:rFonts w:ascii="Candara" w:hAnsi="Candara"/>
              </w:rPr>
              <w:t xml:space="preserve">  Project work            </w:t>
            </w:r>
            <w:r w:rsidRPr="00D20CB2">
              <w:rPr>
                <w:rFonts w:ascii="MS Gothic" w:eastAsia="MS Gothic" w:hAnsi="MS Gothic" w:hint="eastAsia"/>
              </w:rPr>
              <w:t>☒</w:t>
            </w:r>
            <w:r w:rsidRPr="00D20CB2">
              <w:rPr>
                <w:rFonts w:ascii="Candara" w:hAnsi="Candara"/>
              </w:rPr>
              <w:t xml:space="preserve">  Seminar</w:t>
            </w:r>
          </w:p>
          <w:p w:rsidR="005C2316" w:rsidRPr="00D20CB2" w:rsidRDefault="005C2316" w:rsidP="00A667CA">
            <w:pPr>
              <w:spacing w:line="240" w:lineRule="auto"/>
              <w:contextualSpacing/>
              <w:jc w:val="left"/>
              <w:rPr>
                <w:rFonts w:ascii="Candara" w:hAnsi="Candara"/>
              </w:rPr>
            </w:pPr>
            <w:r w:rsidRPr="00D20CB2">
              <w:rPr>
                <w:rFonts w:ascii="Candara" w:hAnsi="Candara"/>
              </w:rPr>
              <w:t xml:space="preserve"> </w:t>
            </w:r>
            <w:r w:rsidRPr="00D20CB2">
              <w:rPr>
                <w:rFonts w:ascii="MS Gothic" w:eastAsia="MS Gothic" w:hAnsi="MS Gothic" w:hint="eastAsia"/>
              </w:rPr>
              <w:t>☐</w:t>
            </w:r>
            <w:r w:rsidRPr="00D20CB2">
              <w:rPr>
                <w:rFonts w:ascii="Candara" w:hAnsi="Candara"/>
              </w:rPr>
              <w:t xml:space="preserve">Distance learning    </w:t>
            </w:r>
            <w:r w:rsidRPr="00D20CB2">
              <w:rPr>
                <w:rFonts w:ascii="MS Gothic" w:eastAsia="MS Gothic" w:hAnsi="MS Gothic" w:hint="eastAsia"/>
              </w:rPr>
              <w:t>☐</w:t>
            </w:r>
            <w:r w:rsidRPr="00D20CB2">
              <w:rPr>
                <w:rFonts w:ascii="Candara" w:hAnsi="Candara"/>
              </w:rPr>
              <w:t xml:space="preserve"> Blended learning      </w:t>
            </w:r>
            <w:r w:rsidRPr="00D20CB2">
              <w:rPr>
                <w:rFonts w:ascii="MS Gothic" w:eastAsia="MS Gothic" w:hAnsi="MS Gothic" w:hint="eastAsia"/>
              </w:rPr>
              <w:t>☒</w:t>
            </w:r>
            <w:r w:rsidRPr="00D20CB2">
              <w:rPr>
                <w:rFonts w:ascii="Candara" w:hAnsi="Candara"/>
              </w:rPr>
              <w:t xml:space="preserve">  Other</w:t>
            </w:r>
          </w:p>
        </w:tc>
      </w:tr>
      <w:tr w:rsidR="005C2316" w:rsidRPr="00B54668" w:rsidTr="00A667CA">
        <w:trPr>
          <w:trHeight w:val="562"/>
        </w:trPr>
        <w:tc>
          <w:tcPr>
            <w:tcW w:w="10440" w:type="dxa"/>
            <w:gridSpan w:val="7"/>
            <w:shd w:val="clear" w:color="auto" w:fill="B8CCE4"/>
            <w:vAlign w:val="center"/>
          </w:tcPr>
          <w:p w:rsidR="005C2316" w:rsidRPr="00A667CA" w:rsidRDefault="005C2316" w:rsidP="00A667CA">
            <w:pPr>
              <w:spacing w:line="240" w:lineRule="auto"/>
              <w:contextualSpacing/>
              <w:jc w:val="left"/>
              <w:rPr>
                <w:rFonts w:ascii="Candara" w:hAnsi="Candara"/>
                <w:b/>
              </w:rPr>
            </w:pPr>
            <w:r w:rsidRPr="00A667CA">
              <w:rPr>
                <w:rFonts w:ascii="Candara" w:hAnsi="Candara"/>
                <w:b/>
              </w:rPr>
              <w:t>PURPOSE AND OVERVIEW (max. 5 sentences)</w:t>
            </w:r>
          </w:p>
        </w:tc>
      </w:tr>
      <w:tr w:rsidR="005C2316" w:rsidRPr="00431BAC" w:rsidTr="00A667CA">
        <w:trPr>
          <w:trHeight w:val="562"/>
        </w:trPr>
        <w:tc>
          <w:tcPr>
            <w:tcW w:w="10440" w:type="dxa"/>
            <w:gridSpan w:val="7"/>
            <w:vAlign w:val="center"/>
          </w:tcPr>
          <w:p w:rsidR="005C2316" w:rsidRPr="00A06B0A" w:rsidRDefault="005C2316" w:rsidP="00A9385A">
            <w:pPr>
              <w:suppressAutoHyphens w:val="0"/>
              <w:autoSpaceDE w:val="0"/>
              <w:autoSpaceDN w:val="0"/>
              <w:adjustRightInd w:val="0"/>
              <w:spacing w:after="0" w:line="240" w:lineRule="auto"/>
              <w:rPr>
                <w:rFonts w:ascii="Candara" w:hAnsi="Candara" w:cs="Calibri"/>
                <w:i/>
                <w:lang w:val="en-US"/>
              </w:rPr>
            </w:pPr>
            <w:r w:rsidRPr="00A06B0A">
              <w:rPr>
                <w:rFonts w:ascii="Candara" w:hAnsi="Candara"/>
                <w:i/>
              </w:rPr>
              <w:t>Acquiring knowledge about energy processes in the living environment. Training students to perform exergy analysis of energy processes and their environmental impact.    Optimization of parameters of energy processes in the energy system in the stages of planning, design, exploitation, as well as the e</w:t>
            </w:r>
            <w:r>
              <w:rPr>
                <w:rFonts w:ascii="Candara" w:hAnsi="Candara"/>
                <w:i/>
              </w:rPr>
              <w:t>nvironmental impact assessment.</w:t>
            </w:r>
            <w:bookmarkStart w:id="0" w:name="_GoBack"/>
            <w:bookmarkEnd w:id="0"/>
            <w:r w:rsidRPr="00A06B0A">
              <w:rPr>
                <w:rFonts w:ascii="Candara" w:hAnsi="Candara"/>
                <w:i/>
              </w:rPr>
              <w:t xml:space="preserve"> The influence on the policy of reducing pollutant emissions. The ability to use the acquired knowledge along with the knowledge, understanding and implementation of basic laws of energy processes in the environment. Understanding and promoting energy processes as a significant element of the environmental impact, along with the analysis of economic and environmental parameters. Promotion of energy efficiency and renewable energy, and the practical application of knowledge in this field.</w:t>
            </w:r>
          </w:p>
        </w:tc>
      </w:tr>
      <w:tr w:rsidR="005C2316" w:rsidRPr="00B54668" w:rsidTr="00A667CA">
        <w:trPr>
          <w:trHeight w:val="562"/>
        </w:trPr>
        <w:tc>
          <w:tcPr>
            <w:tcW w:w="10440" w:type="dxa"/>
            <w:gridSpan w:val="7"/>
            <w:shd w:val="clear" w:color="auto" w:fill="B8CCE4"/>
            <w:vAlign w:val="center"/>
          </w:tcPr>
          <w:p w:rsidR="005C2316" w:rsidRPr="00A667CA" w:rsidRDefault="005C2316" w:rsidP="00A667CA">
            <w:pPr>
              <w:tabs>
                <w:tab w:val="left" w:pos="360"/>
              </w:tabs>
              <w:spacing w:after="0" w:line="240" w:lineRule="auto"/>
              <w:jc w:val="left"/>
              <w:rPr>
                <w:rFonts w:ascii="Candara" w:hAnsi="Candara"/>
                <w:b/>
              </w:rPr>
            </w:pPr>
            <w:r w:rsidRPr="00A667CA">
              <w:rPr>
                <w:rFonts w:ascii="Candara" w:hAnsi="Candara"/>
                <w:b/>
              </w:rPr>
              <w:t>SYLLABUS (brief outline and summary of topics, max. 10 sentences)</w:t>
            </w:r>
          </w:p>
        </w:tc>
      </w:tr>
      <w:tr w:rsidR="005C2316" w:rsidRPr="00B54668" w:rsidTr="00A667CA">
        <w:trPr>
          <w:trHeight w:val="562"/>
        </w:trPr>
        <w:tc>
          <w:tcPr>
            <w:tcW w:w="10440" w:type="dxa"/>
            <w:gridSpan w:val="7"/>
            <w:vAlign w:val="center"/>
          </w:tcPr>
          <w:p w:rsidR="005C2316" w:rsidRPr="00A06B0A" w:rsidRDefault="005C2316" w:rsidP="004666FC">
            <w:pPr>
              <w:suppressAutoHyphens w:val="0"/>
              <w:autoSpaceDE w:val="0"/>
              <w:autoSpaceDN w:val="0"/>
              <w:adjustRightInd w:val="0"/>
              <w:spacing w:after="0" w:line="240" w:lineRule="auto"/>
              <w:rPr>
                <w:rFonts w:ascii="Candara" w:hAnsi="Candara" w:cs="Calibri"/>
                <w:lang w:val="en-US"/>
              </w:rPr>
            </w:pPr>
            <w:r w:rsidRPr="00A06B0A">
              <w:rPr>
                <w:rFonts w:ascii="Candara" w:hAnsi="Candara"/>
              </w:rPr>
              <w:t>Energy consumption and the environmental impact. Efficiency and the first law of thermodynamics. Efficiency and the second law of thermodynamics. Exergy analysis of thermal processes. Non</w:t>
            </w:r>
            <w:r w:rsidRPr="00A06B0A">
              <w:rPr>
                <w:rFonts w:ascii="Candara" w:hAnsi="Candara" w:cs="Cambria Math"/>
              </w:rPr>
              <w:t>‐</w:t>
            </w:r>
            <w:r w:rsidRPr="00A06B0A">
              <w:rPr>
                <w:rFonts w:ascii="Candara" w:hAnsi="Candara"/>
              </w:rPr>
              <w:t>renewable energy sources and environmental impact. Renewable energy (solar, biomass and geothermal energy). Combustion and environmental impact. Ecological modernisation and renewable energy sources. Energy storage. Climate and climate change. Environmental impact of energy production. The policy of reducing pollutant emissions.</w:t>
            </w:r>
          </w:p>
        </w:tc>
      </w:tr>
      <w:tr w:rsidR="005C2316" w:rsidRPr="00B54668" w:rsidTr="00A667CA">
        <w:trPr>
          <w:trHeight w:val="562"/>
        </w:trPr>
        <w:tc>
          <w:tcPr>
            <w:tcW w:w="10440" w:type="dxa"/>
            <w:gridSpan w:val="7"/>
            <w:shd w:val="clear" w:color="auto" w:fill="B8CCE4"/>
            <w:vAlign w:val="center"/>
          </w:tcPr>
          <w:p w:rsidR="005C2316" w:rsidRPr="00A667CA" w:rsidRDefault="005C2316" w:rsidP="00A667CA">
            <w:pPr>
              <w:tabs>
                <w:tab w:val="left" w:pos="360"/>
              </w:tabs>
              <w:spacing w:after="0" w:line="240" w:lineRule="auto"/>
              <w:jc w:val="left"/>
              <w:rPr>
                <w:rFonts w:ascii="Candara" w:hAnsi="Candara"/>
                <w:b/>
              </w:rPr>
            </w:pPr>
            <w:r w:rsidRPr="00A667CA">
              <w:rPr>
                <w:rFonts w:ascii="Candara" w:hAnsi="Candara"/>
                <w:b/>
              </w:rPr>
              <w:t>LANGUAGE OF INSTRUCTION</w:t>
            </w:r>
          </w:p>
        </w:tc>
      </w:tr>
      <w:tr w:rsidR="005C2316" w:rsidRPr="00B54668" w:rsidTr="00A667CA">
        <w:trPr>
          <w:trHeight w:val="562"/>
        </w:trPr>
        <w:tc>
          <w:tcPr>
            <w:tcW w:w="10440" w:type="dxa"/>
            <w:gridSpan w:val="7"/>
            <w:vAlign w:val="center"/>
          </w:tcPr>
          <w:p w:rsidR="005C2316" w:rsidRPr="00A667CA" w:rsidRDefault="005C2316" w:rsidP="00A667CA">
            <w:pPr>
              <w:tabs>
                <w:tab w:val="left" w:pos="360"/>
              </w:tabs>
              <w:spacing w:after="0" w:line="240" w:lineRule="auto"/>
              <w:jc w:val="left"/>
              <w:rPr>
                <w:rFonts w:ascii="Candara" w:hAnsi="Candara"/>
              </w:rPr>
            </w:pPr>
            <w:r w:rsidRPr="00A667CA">
              <w:rPr>
                <w:rFonts w:ascii="MS Gothic" w:eastAsia="MS Gothic" w:hAnsi="MS Gothic" w:hint="eastAsia"/>
              </w:rPr>
              <w:t>☐</w:t>
            </w:r>
            <w:r w:rsidRPr="00A667CA">
              <w:rPr>
                <w:rFonts w:ascii="Candara" w:hAnsi="Candara"/>
              </w:rPr>
              <w:t xml:space="preserve"> Serbian  (complete course)              </w:t>
            </w:r>
            <w:r w:rsidRPr="00A667CA">
              <w:rPr>
                <w:rFonts w:ascii="MS Gothic" w:eastAsia="MS Gothic" w:hAnsi="MS Gothic" w:hint="eastAsia"/>
              </w:rPr>
              <w:t>☐</w:t>
            </w:r>
            <w:r w:rsidRPr="00A667CA">
              <w:rPr>
                <w:rFonts w:ascii="Candara" w:hAnsi="Candara"/>
              </w:rPr>
              <w:t xml:space="preserve"> English (complete course)               </w:t>
            </w:r>
            <w:r w:rsidRPr="00A667CA">
              <w:rPr>
                <w:rFonts w:ascii="MS Gothic" w:eastAsia="MS Gothic" w:hAnsi="MS Gothic" w:hint="eastAsia"/>
              </w:rPr>
              <w:t>☐</w:t>
            </w:r>
            <w:r w:rsidRPr="00A667CA">
              <w:rPr>
                <w:rFonts w:ascii="Candara" w:hAnsi="Candara"/>
              </w:rPr>
              <w:t xml:space="preserve">  Other _____________ (complete course)</w:t>
            </w:r>
          </w:p>
          <w:p w:rsidR="005C2316" w:rsidRPr="00A667CA" w:rsidRDefault="005C2316" w:rsidP="00A667CA">
            <w:pPr>
              <w:tabs>
                <w:tab w:val="left" w:pos="360"/>
              </w:tabs>
              <w:spacing w:after="0" w:line="240" w:lineRule="auto"/>
              <w:jc w:val="left"/>
              <w:rPr>
                <w:rFonts w:ascii="Candara" w:hAnsi="Candara"/>
              </w:rPr>
            </w:pPr>
          </w:p>
          <w:p w:rsidR="005C2316" w:rsidRPr="00A667CA" w:rsidRDefault="005C2316" w:rsidP="00A667CA">
            <w:pPr>
              <w:tabs>
                <w:tab w:val="left" w:pos="360"/>
              </w:tabs>
              <w:spacing w:after="0" w:line="240" w:lineRule="auto"/>
              <w:jc w:val="left"/>
              <w:rPr>
                <w:rFonts w:ascii="Candara" w:hAnsi="Candara"/>
              </w:rPr>
            </w:pPr>
            <w:r w:rsidRPr="00A667CA">
              <w:rPr>
                <w:rFonts w:ascii="MS Gothic" w:eastAsia="MS Gothic" w:hAnsi="MS Gothic" w:hint="eastAsia"/>
              </w:rPr>
              <w:t>☒</w:t>
            </w:r>
            <w:r w:rsidRPr="00A667CA">
              <w:rPr>
                <w:rFonts w:ascii="Candara" w:hAnsi="Candara"/>
              </w:rPr>
              <w:t xml:space="preserve">Serbian with English mentoring      </w:t>
            </w:r>
            <w:r w:rsidRPr="00A667CA">
              <w:rPr>
                <w:rFonts w:ascii="MS Gothic" w:eastAsia="MS Gothic" w:hAnsi="MS Gothic" w:hint="eastAsia"/>
              </w:rPr>
              <w:t>☐</w:t>
            </w:r>
            <w:r w:rsidRPr="00A667CA">
              <w:rPr>
                <w:rFonts w:ascii="Candara" w:hAnsi="Candara"/>
              </w:rPr>
              <w:t>Serbian with other mentoring ______________</w:t>
            </w:r>
          </w:p>
          <w:p w:rsidR="005C2316" w:rsidRPr="00A667CA" w:rsidRDefault="005C2316" w:rsidP="00A667CA">
            <w:pPr>
              <w:tabs>
                <w:tab w:val="left" w:pos="360"/>
              </w:tabs>
              <w:spacing w:after="0" w:line="240" w:lineRule="auto"/>
              <w:jc w:val="left"/>
              <w:rPr>
                <w:rFonts w:ascii="Candara" w:hAnsi="Candara"/>
                <w:b/>
              </w:rPr>
            </w:pPr>
          </w:p>
        </w:tc>
      </w:tr>
      <w:tr w:rsidR="005C2316" w:rsidRPr="00B54668" w:rsidTr="00A667CA">
        <w:trPr>
          <w:trHeight w:val="562"/>
        </w:trPr>
        <w:tc>
          <w:tcPr>
            <w:tcW w:w="10440" w:type="dxa"/>
            <w:gridSpan w:val="7"/>
            <w:shd w:val="clear" w:color="auto" w:fill="B8CCE4"/>
            <w:vAlign w:val="center"/>
          </w:tcPr>
          <w:p w:rsidR="005C2316" w:rsidRPr="00A667CA" w:rsidRDefault="005C2316" w:rsidP="00A667CA">
            <w:pPr>
              <w:tabs>
                <w:tab w:val="left" w:pos="360"/>
              </w:tabs>
              <w:spacing w:after="0" w:line="240" w:lineRule="auto"/>
              <w:jc w:val="left"/>
              <w:rPr>
                <w:rFonts w:ascii="Candara" w:hAnsi="Candara"/>
                <w:b/>
              </w:rPr>
            </w:pPr>
            <w:r w:rsidRPr="00A667CA">
              <w:rPr>
                <w:rFonts w:ascii="Candara" w:hAnsi="Candara"/>
                <w:b/>
              </w:rPr>
              <w:t>ASSESSMENT METHODS AND CRITERIA</w:t>
            </w:r>
          </w:p>
        </w:tc>
      </w:tr>
      <w:tr w:rsidR="005C2316" w:rsidRPr="00B54668" w:rsidTr="00D20CB2">
        <w:trPr>
          <w:trHeight w:val="562"/>
        </w:trPr>
        <w:tc>
          <w:tcPr>
            <w:tcW w:w="2550" w:type="dxa"/>
            <w:vAlign w:val="center"/>
          </w:tcPr>
          <w:p w:rsidR="005C2316" w:rsidRPr="00A667CA" w:rsidRDefault="005C2316" w:rsidP="00A667CA">
            <w:pPr>
              <w:tabs>
                <w:tab w:val="left" w:pos="360"/>
              </w:tabs>
              <w:spacing w:after="0" w:line="240" w:lineRule="auto"/>
              <w:jc w:val="left"/>
              <w:rPr>
                <w:rFonts w:ascii="Candara" w:hAnsi="Candara"/>
                <w:b/>
              </w:rPr>
            </w:pPr>
            <w:r w:rsidRPr="00A667CA">
              <w:rPr>
                <w:rFonts w:ascii="Candara" w:hAnsi="Candara"/>
                <w:b/>
              </w:rPr>
              <w:t>Pre exam duties</w:t>
            </w:r>
          </w:p>
        </w:tc>
        <w:tc>
          <w:tcPr>
            <w:tcW w:w="1770" w:type="dxa"/>
            <w:gridSpan w:val="2"/>
            <w:vAlign w:val="center"/>
          </w:tcPr>
          <w:p w:rsidR="005C2316" w:rsidRPr="00A667CA" w:rsidRDefault="005C2316" w:rsidP="00A667CA">
            <w:pPr>
              <w:tabs>
                <w:tab w:val="left" w:pos="360"/>
              </w:tabs>
              <w:spacing w:after="0" w:line="240" w:lineRule="auto"/>
              <w:jc w:val="left"/>
              <w:rPr>
                <w:rFonts w:ascii="Candara" w:hAnsi="Candara"/>
                <w:b/>
              </w:rPr>
            </w:pPr>
            <w:r w:rsidRPr="00A667CA">
              <w:rPr>
                <w:rFonts w:ascii="Candara" w:hAnsi="Candara"/>
                <w:b/>
              </w:rPr>
              <w:t>Points</w:t>
            </w:r>
          </w:p>
        </w:tc>
        <w:tc>
          <w:tcPr>
            <w:tcW w:w="3060" w:type="dxa"/>
            <w:gridSpan w:val="3"/>
            <w:vAlign w:val="center"/>
          </w:tcPr>
          <w:p w:rsidR="005C2316" w:rsidRPr="00A667CA" w:rsidRDefault="005C2316" w:rsidP="00A667CA">
            <w:pPr>
              <w:tabs>
                <w:tab w:val="left" w:pos="360"/>
              </w:tabs>
              <w:spacing w:after="0" w:line="240" w:lineRule="auto"/>
              <w:jc w:val="left"/>
              <w:rPr>
                <w:rFonts w:ascii="Candara" w:hAnsi="Candara"/>
                <w:b/>
              </w:rPr>
            </w:pPr>
            <w:r w:rsidRPr="00A667CA">
              <w:rPr>
                <w:rFonts w:ascii="Candara" w:hAnsi="Candara"/>
                <w:b/>
              </w:rPr>
              <w:t>Final exam</w:t>
            </w:r>
          </w:p>
        </w:tc>
        <w:tc>
          <w:tcPr>
            <w:tcW w:w="3060" w:type="dxa"/>
            <w:vAlign w:val="center"/>
          </w:tcPr>
          <w:p w:rsidR="005C2316" w:rsidRPr="00A667CA" w:rsidRDefault="005C2316" w:rsidP="00A667CA">
            <w:pPr>
              <w:tabs>
                <w:tab w:val="left" w:pos="360"/>
              </w:tabs>
              <w:spacing w:after="0" w:line="240" w:lineRule="auto"/>
              <w:jc w:val="left"/>
              <w:rPr>
                <w:rFonts w:ascii="Candara" w:hAnsi="Candara"/>
                <w:b/>
              </w:rPr>
            </w:pPr>
            <w:r w:rsidRPr="00A667CA">
              <w:rPr>
                <w:rFonts w:ascii="Candara" w:hAnsi="Candara"/>
                <w:b/>
              </w:rPr>
              <w:t>points</w:t>
            </w:r>
          </w:p>
        </w:tc>
      </w:tr>
      <w:tr w:rsidR="005C2316" w:rsidRPr="00B54668" w:rsidTr="00D20CB2">
        <w:trPr>
          <w:trHeight w:val="562"/>
        </w:trPr>
        <w:tc>
          <w:tcPr>
            <w:tcW w:w="2550" w:type="dxa"/>
            <w:vAlign w:val="center"/>
          </w:tcPr>
          <w:p w:rsidR="005C2316" w:rsidRPr="00D17A2C" w:rsidRDefault="005C2316" w:rsidP="00A667CA">
            <w:pPr>
              <w:tabs>
                <w:tab w:val="left" w:pos="360"/>
              </w:tabs>
              <w:spacing w:after="0" w:line="240" w:lineRule="auto"/>
              <w:jc w:val="left"/>
              <w:rPr>
                <w:rFonts w:ascii="Candara" w:hAnsi="Candara"/>
                <w:b/>
              </w:rPr>
            </w:pPr>
            <w:r w:rsidRPr="00D17A2C">
              <w:rPr>
                <w:rFonts w:ascii="Candara" w:hAnsi="Candara"/>
                <w:b/>
              </w:rPr>
              <w:t>Activity during lectures</w:t>
            </w:r>
          </w:p>
        </w:tc>
        <w:tc>
          <w:tcPr>
            <w:tcW w:w="1770" w:type="dxa"/>
            <w:gridSpan w:val="2"/>
            <w:vAlign w:val="center"/>
          </w:tcPr>
          <w:p w:rsidR="005C2316" w:rsidRPr="00D17A2C" w:rsidRDefault="005C2316" w:rsidP="00A667CA">
            <w:pPr>
              <w:tabs>
                <w:tab w:val="left" w:pos="360"/>
              </w:tabs>
              <w:spacing w:after="0" w:line="240" w:lineRule="auto"/>
              <w:jc w:val="left"/>
              <w:rPr>
                <w:rFonts w:ascii="Candara" w:hAnsi="Candara"/>
                <w:b/>
              </w:rPr>
            </w:pPr>
          </w:p>
        </w:tc>
        <w:tc>
          <w:tcPr>
            <w:tcW w:w="3060" w:type="dxa"/>
            <w:gridSpan w:val="3"/>
            <w:vAlign w:val="center"/>
          </w:tcPr>
          <w:p w:rsidR="005C2316" w:rsidRPr="00D17A2C" w:rsidRDefault="005C2316" w:rsidP="00A667CA">
            <w:pPr>
              <w:tabs>
                <w:tab w:val="left" w:pos="360"/>
              </w:tabs>
              <w:spacing w:after="0" w:line="240" w:lineRule="auto"/>
              <w:jc w:val="left"/>
              <w:rPr>
                <w:rFonts w:ascii="Candara" w:hAnsi="Candara"/>
                <w:b/>
              </w:rPr>
            </w:pPr>
            <w:r w:rsidRPr="00D17A2C">
              <w:rPr>
                <w:rFonts w:ascii="Candara" w:hAnsi="Candara"/>
                <w:b/>
              </w:rPr>
              <w:t>Written examination</w:t>
            </w:r>
          </w:p>
        </w:tc>
        <w:tc>
          <w:tcPr>
            <w:tcW w:w="3060" w:type="dxa"/>
            <w:vAlign w:val="center"/>
          </w:tcPr>
          <w:p w:rsidR="005C2316" w:rsidRPr="00D17A2C" w:rsidRDefault="005C2316" w:rsidP="00A667CA">
            <w:pPr>
              <w:tabs>
                <w:tab w:val="left" w:pos="360"/>
              </w:tabs>
              <w:spacing w:after="0" w:line="240" w:lineRule="auto"/>
              <w:jc w:val="left"/>
              <w:rPr>
                <w:rFonts w:ascii="Candara" w:hAnsi="Candara"/>
                <w:b/>
              </w:rPr>
            </w:pPr>
            <w:r w:rsidRPr="00D17A2C">
              <w:rPr>
                <w:rFonts w:ascii="Candara" w:hAnsi="Candara"/>
                <w:b/>
              </w:rPr>
              <w:t>30</w:t>
            </w:r>
          </w:p>
        </w:tc>
      </w:tr>
      <w:tr w:rsidR="005C2316" w:rsidRPr="00D20CB2" w:rsidTr="00D20CB2">
        <w:trPr>
          <w:trHeight w:val="562"/>
        </w:trPr>
        <w:tc>
          <w:tcPr>
            <w:tcW w:w="2550" w:type="dxa"/>
            <w:vAlign w:val="center"/>
          </w:tcPr>
          <w:p w:rsidR="005C2316" w:rsidRPr="00D20CB2" w:rsidRDefault="005C2316" w:rsidP="00A667CA">
            <w:pPr>
              <w:tabs>
                <w:tab w:val="left" w:pos="360"/>
              </w:tabs>
              <w:spacing w:after="0" w:line="240" w:lineRule="auto"/>
              <w:jc w:val="left"/>
              <w:rPr>
                <w:rFonts w:ascii="Candara" w:hAnsi="Candara"/>
                <w:b/>
              </w:rPr>
            </w:pPr>
            <w:r w:rsidRPr="00D20CB2">
              <w:rPr>
                <w:rFonts w:ascii="Candara" w:hAnsi="Candara"/>
                <w:b/>
              </w:rPr>
              <w:t>Practical teaching</w:t>
            </w:r>
          </w:p>
        </w:tc>
        <w:tc>
          <w:tcPr>
            <w:tcW w:w="1770" w:type="dxa"/>
            <w:gridSpan w:val="2"/>
            <w:vAlign w:val="center"/>
          </w:tcPr>
          <w:p w:rsidR="005C2316" w:rsidRPr="00D20CB2" w:rsidRDefault="005C2316" w:rsidP="00A667CA">
            <w:pPr>
              <w:tabs>
                <w:tab w:val="left" w:pos="360"/>
              </w:tabs>
              <w:spacing w:after="0" w:line="240" w:lineRule="auto"/>
              <w:jc w:val="left"/>
              <w:rPr>
                <w:rFonts w:ascii="Candara" w:hAnsi="Candara"/>
                <w:b/>
              </w:rPr>
            </w:pPr>
            <w:r>
              <w:rPr>
                <w:rFonts w:ascii="Candara" w:hAnsi="Candara"/>
                <w:b/>
              </w:rPr>
              <w:t>40</w:t>
            </w:r>
          </w:p>
        </w:tc>
        <w:tc>
          <w:tcPr>
            <w:tcW w:w="3060" w:type="dxa"/>
            <w:gridSpan w:val="3"/>
            <w:vAlign w:val="center"/>
          </w:tcPr>
          <w:p w:rsidR="005C2316" w:rsidRPr="00D20CB2" w:rsidRDefault="005C2316" w:rsidP="00A667CA">
            <w:pPr>
              <w:tabs>
                <w:tab w:val="left" w:pos="360"/>
              </w:tabs>
              <w:spacing w:after="0" w:line="240" w:lineRule="auto"/>
              <w:jc w:val="left"/>
              <w:rPr>
                <w:rFonts w:ascii="Candara" w:hAnsi="Candara"/>
                <w:b/>
              </w:rPr>
            </w:pPr>
            <w:r w:rsidRPr="00D20CB2">
              <w:rPr>
                <w:rFonts w:ascii="Candara" w:hAnsi="Candara"/>
                <w:b/>
              </w:rPr>
              <w:t>Oral examination</w:t>
            </w:r>
          </w:p>
        </w:tc>
        <w:tc>
          <w:tcPr>
            <w:tcW w:w="3060" w:type="dxa"/>
            <w:vAlign w:val="center"/>
          </w:tcPr>
          <w:p w:rsidR="005C2316" w:rsidRPr="00D20CB2" w:rsidRDefault="005C2316" w:rsidP="00A667CA">
            <w:pPr>
              <w:tabs>
                <w:tab w:val="left" w:pos="360"/>
              </w:tabs>
              <w:spacing w:after="0" w:line="240" w:lineRule="auto"/>
              <w:jc w:val="left"/>
              <w:rPr>
                <w:rFonts w:ascii="Candara" w:hAnsi="Candara"/>
                <w:b/>
              </w:rPr>
            </w:pPr>
            <w:r w:rsidRPr="00D20CB2">
              <w:rPr>
                <w:rFonts w:ascii="Candara" w:hAnsi="Candara"/>
                <w:b/>
              </w:rPr>
              <w:t>30</w:t>
            </w:r>
          </w:p>
        </w:tc>
      </w:tr>
      <w:tr w:rsidR="005C2316" w:rsidRPr="00B54668" w:rsidTr="00D20CB2">
        <w:trPr>
          <w:trHeight w:val="562"/>
        </w:trPr>
        <w:tc>
          <w:tcPr>
            <w:tcW w:w="2550" w:type="dxa"/>
            <w:vAlign w:val="center"/>
          </w:tcPr>
          <w:p w:rsidR="005C2316" w:rsidRPr="00D17A2C" w:rsidRDefault="005C2316" w:rsidP="00A667CA">
            <w:pPr>
              <w:tabs>
                <w:tab w:val="left" w:pos="360"/>
              </w:tabs>
              <w:spacing w:after="0" w:line="240" w:lineRule="auto"/>
              <w:jc w:val="left"/>
              <w:rPr>
                <w:rFonts w:ascii="Candara" w:hAnsi="Candara"/>
                <w:b/>
              </w:rPr>
            </w:pPr>
            <w:r w:rsidRPr="00D17A2C">
              <w:rPr>
                <w:rFonts w:ascii="Candara" w:hAnsi="Candara"/>
                <w:b/>
              </w:rPr>
              <w:t>Teaching colloquia</w:t>
            </w:r>
          </w:p>
        </w:tc>
        <w:tc>
          <w:tcPr>
            <w:tcW w:w="1770" w:type="dxa"/>
            <w:gridSpan w:val="2"/>
            <w:vAlign w:val="center"/>
          </w:tcPr>
          <w:p w:rsidR="005C2316" w:rsidRPr="00D17A2C" w:rsidRDefault="005C2316" w:rsidP="00A667CA">
            <w:pPr>
              <w:tabs>
                <w:tab w:val="left" w:pos="360"/>
              </w:tabs>
              <w:spacing w:after="0" w:line="240" w:lineRule="auto"/>
              <w:jc w:val="left"/>
              <w:rPr>
                <w:rFonts w:ascii="Candara" w:hAnsi="Candara"/>
                <w:b/>
              </w:rPr>
            </w:pPr>
          </w:p>
        </w:tc>
        <w:tc>
          <w:tcPr>
            <w:tcW w:w="3060" w:type="dxa"/>
            <w:gridSpan w:val="3"/>
            <w:vAlign w:val="center"/>
          </w:tcPr>
          <w:p w:rsidR="005C2316" w:rsidRPr="00D17A2C" w:rsidRDefault="005C2316" w:rsidP="00A667CA">
            <w:pPr>
              <w:tabs>
                <w:tab w:val="left" w:pos="360"/>
              </w:tabs>
              <w:spacing w:after="0" w:line="240" w:lineRule="auto"/>
              <w:jc w:val="left"/>
              <w:rPr>
                <w:rFonts w:ascii="Candara" w:hAnsi="Candara"/>
                <w:b/>
              </w:rPr>
            </w:pPr>
            <w:r w:rsidRPr="00D17A2C">
              <w:rPr>
                <w:rFonts w:ascii="Candara" w:hAnsi="Candara"/>
                <w:b/>
              </w:rPr>
              <w:t>OVERALL SUM</w:t>
            </w:r>
          </w:p>
        </w:tc>
        <w:tc>
          <w:tcPr>
            <w:tcW w:w="3060" w:type="dxa"/>
            <w:vAlign w:val="center"/>
          </w:tcPr>
          <w:p w:rsidR="005C2316" w:rsidRPr="00D17A2C" w:rsidRDefault="005C2316" w:rsidP="00A667CA">
            <w:pPr>
              <w:tabs>
                <w:tab w:val="left" w:pos="360"/>
              </w:tabs>
              <w:spacing w:after="0" w:line="240" w:lineRule="auto"/>
              <w:jc w:val="left"/>
              <w:rPr>
                <w:rFonts w:ascii="Candara" w:hAnsi="Candara"/>
                <w:b/>
              </w:rPr>
            </w:pPr>
            <w:r w:rsidRPr="00D17A2C">
              <w:rPr>
                <w:rFonts w:ascii="Candara" w:hAnsi="Candara"/>
                <w:b/>
              </w:rPr>
              <w:t>100</w:t>
            </w:r>
          </w:p>
        </w:tc>
      </w:tr>
      <w:tr w:rsidR="005C2316" w:rsidRPr="00B54668" w:rsidTr="00A667CA">
        <w:trPr>
          <w:trHeight w:val="562"/>
        </w:trPr>
        <w:tc>
          <w:tcPr>
            <w:tcW w:w="10440" w:type="dxa"/>
            <w:gridSpan w:val="7"/>
            <w:vAlign w:val="center"/>
          </w:tcPr>
          <w:p w:rsidR="005C2316" w:rsidRPr="00A667CA" w:rsidRDefault="005C2316" w:rsidP="00A667CA">
            <w:pPr>
              <w:tabs>
                <w:tab w:val="left" w:pos="360"/>
              </w:tabs>
              <w:spacing w:after="0" w:line="240" w:lineRule="auto"/>
              <w:jc w:val="left"/>
              <w:rPr>
                <w:rFonts w:ascii="Candara" w:hAnsi="Candara"/>
                <w:b/>
              </w:rPr>
            </w:pPr>
            <w:r w:rsidRPr="00A667CA">
              <w:rPr>
                <w:rFonts w:ascii="Candara" w:hAnsi="Candara"/>
                <w:b/>
              </w:rPr>
              <w:t>*Final examination mark is formed in accordance with the Institutional documents</w:t>
            </w:r>
          </w:p>
        </w:tc>
      </w:tr>
    </w:tbl>
    <w:p w:rsidR="005C2316" w:rsidRDefault="005C2316" w:rsidP="00E71A0B">
      <w:pPr>
        <w:ind w:left="1089"/>
      </w:pPr>
    </w:p>
    <w:p w:rsidR="005C2316" w:rsidRDefault="005C2316" w:rsidP="00E71A0B">
      <w:pPr>
        <w:ind w:left="1089"/>
      </w:pPr>
    </w:p>
    <w:p w:rsidR="005C2316" w:rsidRDefault="005C2316" w:rsidP="00E71A0B">
      <w:pPr>
        <w:ind w:left="1089"/>
      </w:pPr>
    </w:p>
    <w:sectPr w:rsidR="005C2316"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316" w:rsidRDefault="005C2316" w:rsidP="00864926">
      <w:pPr>
        <w:spacing w:after="0" w:line="240" w:lineRule="auto"/>
      </w:pPr>
      <w:r>
        <w:separator/>
      </w:r>
    </w:p>
  </w:endnote>
  <w:endnote w:type="continuationSeparator" w:id="0">
    <w:p w:rsidR="005C2316" w:rsidRDefault="005C2316"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Arial Unicode MS"/>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316" w:rsidRDefault="005C2316" w:rsidP="00864926">
      <w:pPr>
        <w:spacing w:after="0" w:line="240" w:lineRule="auto"/>
      </w:pPr>
      <w:r>
        <w:separator/>
      </w:r>
    </w:p>
  </w:footnote>
  <w:footnote w:type="continuationSeparator" w:id="0">
    <w:p w:rsidR="005C2316" w:rsidRDefault="005C2316"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21962"/>
    <w:rsid w:val="00033AAA"/>
    <w:rsid w:val="0006570E"/>
    <w:rsid w:val="00072524"/>
    <w:rsid w:val="00092E35"/>
    <w:rsid w:val="00092E5B"/>
    <w:rsid w:val="00095B6B"/>
    <w:rsid w:val="000C4D97"/>
    <w:rsid w:val="000D1290"/>
    <w:rsid w:val="000E117C"/>
    <w:rsid w:val="000F1D0A"/>
    <w:rsid w:val="000F6001"/>
    <w:rsid w:val="001177E3"/>
    <w:rsid w:val="00191068"/>
    <w:rsid w:val="001B69C7"/>
    <w:rsid w:val="001D3BF1"/>
    <w:rsid w:val="001D64D3"/>
    <w:rsid w:val="001F14FA"/>
    <w:rsid w:val="001F2D71"/>
    <w:rsid w:val="001F60E3"/>
    <w:rsid w:val="00201CF6"/>
    <w:rsid w:val="00205A1D"/>
    <w:rsid w:val="002319B6"/>
    <w:rsid w:val="002B580C"/>
    <w:rsid w:val="002C17E6"/>
    <w:rsid w:val="00315601"/>
    <w:rsid w:val="00323176"/>
    <w:rsid w:val="00341BD1"/>
    <w:rsid w:val="003B32A9"/>
    <w:rsid w:val="003C177A"/>
    <w:rsid w:val="003C4703"/>
    <w:rsid w:val="003E6FBB"/>
    <w:rsid w:val="00402788"/>
    <w:rsid w:val="00406F80"/>
    <w:rsid w:val="00431BAC"/>
    <w:rsid w:val="00431EFA"/>
    <w:rsid w:val="00466640"/>
    <w:rsid w:val="004666FC"/>
    <w:rsid w:val="00493925"/>
    <w:rsid w:val="004A5028"/>
    <w:rsid w:val="004A6E7A"/>
    <w:rsid w:val="004D1C7E"/>
    <w:rsid w:val="004E3A85"/>
    <w:rsid w:val="004E562D"/>
    <w:rsid w:val="00533A37"/>
    <w:rsid w:val="005633E0"/>
    <w:rsid w:val="005A330F"/>
    <w:rsid w:val="005A5D38"/>
    <w:rsid w:val="005B0885"/>
    <w:rsid w:val="005B64BF"/>
    <w:rsid w:val="005C0683"/>
    <w:rsid w:val="005C2316"/>
    <w:rsid w:val="005D46D7"/>
    <w:rsid w:val="00603117"/>
    <w:rsid w:val="00640285"/>
    <w:rsid w:val="00665A6C"/>
    <w:rsid w:val="0067060D"/>
    <w:rsid w:val="00677AC1"/>
    <w:rsid w:val="006878DC"/>
    <w:rsid w:val="0069043C"/>
    <w:rsid w:val="006B74CE"/>
    <w:rsid w:val="006E40AE"/>
    <w:rsid w:val="006F647C"/>
    <w:rsid w:val="00751B3F"/>
    <w:rsid w:val="00783C57"/>
    <w:rsid w:val="00792CB4"/>
    <w:rsid w:val="007C7A43"/>
    <w:rsid w:val="008224AF"/>
    <w:rsid w:val="008349BF"/>
    <w:rsid w:val="00857B40"/>
    <w:rsid w:val="00864926"/>
    <w:rsid w:val="008A30CE"/>
    <w:rsid w:val="008B1D6B"/>
    <w:rsid w:val="008C1C71"/>
    <w:rsid w:val="008C31B7"/>
    <w:rsid w:val="008E5728"/>
    <w:rsid w:val="009077E1"/>
    <w:rsid w:val="00911529"/>
    <w:rsid w:val="0092411B"/>
    <w:rsid w:val="00932B21"/>
    <w:rsid w:val="009600D4"/>
    <w:rsid w:val="00972302"/>
    <w:rsid w:val="00981CD6"/>
    <w:rsid w:val="00987709"/>
    <w:rsid w:val="009906EA"/>
    <w:rsid w:val="009A6C3F"/>
    <w:rsid w:val="009D3F5E"/>
    <w:rsid w:val="009F3F9F"/>
    <w:rsid w:val="009F73B6"/>
    <w:rsid w:val="00A06B0A"/>
    <w:rsid w:val="00A10286"/>
    <w:rsid w:val="00A1335D"/>
    <w:rsid w:val="00A3480E"/>
    <w:rsid w:val="00A52CFB"/>
    <w:rsid w:val="00A539B1"/>
    <w:rsid w:val="00A667CA"/>
    <w:rsid w:val="00A9385A"/>
    <w:rsid w:val="00AF47A6"/>
    <w:rsid w:val="00AF4EC1"/>
    <w:rsid w:val="00B50491"/>
    <w:rsid w:val="00B54668"/>
    <w:rsid w:val="00B9521A"/>
    <w:rsid w:val="00BD3504"/>
    <w:rsid w:val="00C63234"/>
    <w:rsid w:val="00C71E55"/>
    <w:rsid w:val="00CA6D81"/>
    <w:rsid w:val="00CC23C3"/>
    <w:rsid w:val="00CD17F1"/>
    <w:rsid w:val="00D078AD"/>
    <w:rsid w:val="00D17A2C"/>
    <w:rsid w:val="00D20C30"/>
    <w:rsid w:val="00D20CB2"/>
    <w:rsid w:val="00D92F39"/>
    <w:rsid w:val="00DB43CC"/>
    <w:rsid w:val="00DE0CBD"/>
    <w:rsid w:val="00DF732C"/>
    <w:rsid w:val="00E1222F"/>
    <w:rsid w:val="00E12A47"/>
    <w:rsid w:val="00E12ACA"/>
    <w:rsid w:val="00E47B95"/>
    <w:rsid w:val="00E5013A"/>
    <w:rsid w:val="00E60599"/>
    <w:rsid w:val="00E71A0B"/>
    <w:rsid w:val="00E8188A"/>
    <w:rsid w:val="00E857F8"/>
    <w:rsid w:val="00E970DE"/>
    <w:rsid w:val="00EA7E0C"/>
    <w:rsid w:val="00EC53EE"/>
    <w:rsid w:val="00EE37F6"/>
    <w:rsid w:val="00F06AFA"/>
    <w:rsid w:val="00F12462"/>
    <w:rsid w:val="00F237EB"/>
    <w:rsid w:val="00F27D63"/>
    <w:rsid w:val="00F56373"/>
    <w:rsid w:val="00F742D3"/>
    <w:rsid w:val="00FD0D1B"/>
    <w:rsid w:val="00FD2C4F"/>
    <w:rsid w:val="00FE30FA"/>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963415522">
      <w:marLeft w:val="0"/>
      <w:marRight w:val="0"/>
      <w:marTop w:val="0"/>
      <w:marBottom w:val="0"/>
      <w:divBdr>
        <w:top w:val="none" w:sz="0" w:space="0" w:color="auto"/>
        <w:left w:val="none" w:sz="0" w:space="0" w:color="auto"/>
        <w:bottom w:val="none" w:sz="0" w:space="0" w:color="auto"/>
        <w:right w:val="none" w:sz="0" w:space="0" w:color="auto"/>
      </w:divBdr>
      <w:divsChild>
        <w:div w:id="1963415520">
          <w:marLeft w:val="0"/>
          <w:marRight w:val="0"/>
          <w:marTop w:val="0"/>
          <w:marBottom w:val="0"/>
          <w:divBdr>
            <w:top w:val="none" w:sz="0" w:space="0" w:color="auto"/>
            <w:left w:val="none" w:sz="0" w:space="0" w:color="auto"/>
            <w:bottom w:val="none" w:sz="0" w:space="0" w:color="auto"/>
            <w:right w:val="none" w:sz="0" w:space="0" w:color="auto"/>
          </w:divBdr>
        </w:div>
        <w:div w:id="1963415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414</Words>
  <Characters>2362</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4</cp:revision>
  <cp:lastPrinted>2016-03-25T09:08:00Z</cp:lastPrinted>
  <dcterms:created xsi:type="dcterms:W3CDTF">2016-04-14T20:09:00Z</dcterms:created>
  <dcterms:modified xsi:type="dcterms:W3CDTF">2016-04-20T10:09:00Z</dcterms:modified>
</cp:coreProperties>
</file>