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87D1E" w:rsidRDefault="00F87D1E" w:rsidP="00F87D1E">
            <w:pPr>
              <w:suppressAutoHyphens w:val="0"/>
              <w:spacing w:before="240" w:after="20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87D1E">
              <w:rPr>
                <w:rFonts w:ascii="Candara" w:hAnsi="Candara"/>
                <w:b/>
                <w:sz w:val="28"/>
                <w:szCs w:val="28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87D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ajorHAnsi" w:hAnsiTheme="majorHAnsi"/>
                <w:color w:val="444444"/>
                <w:shd w:val="clear" w:color="auto" w:fill="FFFFFF"/>
              </w:rPr>
              <w:t>Painting</w:t>
            </w:r>
            <w:r w:rsidRPr="0051028F">
              <w:rPr>
                <w:rFonts w:asciiTheme="majorHAnsi" w:hAnsiTheme="majorHAnsi"/>
                <w:color w:val="444444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/>
                <w:color w:val="444444"/>
                <w:shd w:val="clear" w:color="auto" w:fill="FFFFFF"/>
              </w:rPr>
              <w:t>Graphic Design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F7796" w:rsidRDefault="00F87D1E" w:rsidP="00F87D1E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3F7796">
              <w:rPr>
                <w:rFonts w:ascii="Candara" w:hAnsi="Candara"/>
                <w:b/>
              </w:rPr>
              <w:t xml:space="preserve">English Language </w:t>
            </w:r>
            <w:r w:rsidR="00CD0235" w:rsidRPr="003F7796">
              <w:rPr>
                <w:rFonts w:ascii="Candara" w:hAnsi="Candara"/>
                <w:b/>
              </w:rPr>
              <w:t>3</w:t>
            </w:r>
            <w:r w:rsidR="003F7796" w:rsidRPr="003F7796">
              <w:rPr>
                <w:rFonts w:ascii="Candara" w:hAnsi="Candara"/>
                <w:b/>
              </w:rPr>
              <w:t xml:space="preserve"> (ESP) – Painting &amp; Graphic Design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  <w:r w:rsidR="00F87D1E">
              <w:rPr>
                <w:rFonts w:ascii="Candara" w:hAnsi="Candara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27E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Content>
                <w:r w:rsidR="00F87D1E">
                  <w:rPr>
                    <w:rFonts w:ascii="Candara" w:hAnsi="Candara"/>
                    <w:b/>
                  </w:rPr>
                  <w:t xml:space="preserve">  </w:t>
                </w:r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27EEE" w:rsidP="00CD02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D0235">
                  <w:rPr>
                    <w:rFonts w:ascii="Candara" w:hAnsi="Candara"/>
                  </w:rPr>
                  <w:t xml:space="preserve"> </w:t>
                </w:r>
                <w:r w:rsidR="00CD0235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CD0235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CD0235">
              <w:rPr>
                <w:rFonts w:ascii="Candara" w:hAnsi="Candara"/>
              </w:rPr>
              <w:t xml:space="preserve">              </w:t>
            </w:r>
            <w:r w:rsidR="00406F8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D0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235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CD0235">
              <w:rPr>
                <w:rFonts w:ascii="Candara" w:hAnsi="Candara" w:cs="Arial"/>
                <w:lang w:val="en-US"/>
              </w:rPr>
              <w:t xml:space="preserve"> Autumn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lastRenderedPageBreak/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D0235" w:rsidP="00F87D1E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  <w:r w:rsidR="00F87D1E"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87D1E" w:rsidRDefault="00F87D1E" w:rsidP="00F87D1E">
            <w:pPr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F87D1E">
              <w:rPr>
                <w:rFonts w:asciiTheme="majorHAnsi" w:hAnsiTheme="majorHAnsi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87D1E" w:rsidP="00F87D1E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Drambarean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F01F3" w:rsidRDefault="00911529" w:rsidP="008F01F3">
            <w:pPr>
              <w:rPr>
                <w:sz w:val="18"/>
                <w:szCs w:val="18"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  <w:r w:rsidR="008F01F3">
              <w:rPr>
                <w:rFonts w:ascii="Candara" w:hAnsi="Candara"/>
                <w:b/>
              </w:rPr>
              <w:t xml:space="preserve"> 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D0235" w:rsidRDefault="00CD0235" w:rsidP="00DA2FC7">
            <w:pPr>
              <w:spacing w:before="120"/>
              <w:rPr>
                <w:rFonts w:asciiTheme="minorHAnsi" w:hAnsiTheme="minorHAnsi" w:cs="Arial"/>
              </w:rPr>
            </w:pPr>
            <w:r w:rsidRPr="00CD0235">
              <w:rPr>
                <w:rFonts w:asciiTheme="minorHAnsi" w:hAnsiTheme="minorHAnsi"/>
              </w:rPr>
              <w:t>The course focuses on the topics from the professional discourse with the emphasis on gradual, yet effective expanding of professional vocabulary with a balanced accent on all four basic language skills: reading, listening, speaking and writing. The goal is to develop the students' ability of addressing professional issues with confid</w:t>
            </w:r>
            <w:r w:rsidR="00DA2FC7">
              <w:rPr>
                <w:rFonts w:asciiTheme="minorHAnsi" w:hAnsiTheme="minorHAnsi"/>
              </w:rPr>
              <w:t>e</w:t>
            </w:r>
            <w:r w:rsidRPr="00CD0235">
              <w:rPr>
                <w:rFonts w:asciiTheme="minorHAnsi" w:hAnsiTheme="minorHAnsi"/>
              </w:rPr>
              <w:t xml:space="preserve">nce, demonstrating increased competence with varied sentence structures and heightened ability to arrange ideas purposefully and coherently with appropriate argumentation/description/illustration both in oral and written output. </w:t>
            </w:r>
            <w:r w:rsidRPr="00CD0235">
              <w:rPr>
                <w:rFonts w:asciiTheme="minorHAnsi" w:hAnsiTheme="minorHAnsi" w:cs="Arial"/>
              </w:rPr>
              <w:t xml:space="preserve">Students are able to maintain effective and confident communication in the professional context, </w:t>
            </w:r>
            <w:r w:rsidRPr="00CD0235">
              <w:rPr>
                <w:rFonts w:asciiTheme="minorHAnsi" w:hAnsiTheme="minorHAnsi"/>
              </w:rPr>
              <w:t xml:space="preserve">integrate form, meaning and use in academic discourse </w:t>
            </w:r>
            <w:r w:rsidRPr="00CD0235">
              <w:rPr>
                <w:rFonts w:asciiTheme="minorHAnsi" w:hAnsiTheme="minorHAnsi"/>
              </w:rPr>
              <w:lastRenderedPageBreak/>
              <w:t xml:space="preserve">settings, demonstrate ability to transfer their knowledge of structure and professional vocabulary into effective, concise and grammatically correct longer types of writing such as formal academic essays, </w:t>
            </w:r>
            <w:r w:rsidRPr="00CD0235">
              <w:rPr>
                <w:rFonts w:asciiTheme="minorHAnsi" w:hAnsiTheme="minorHAnsi" w:cs="Arial"/>
              </w:rPr>
              <w:t>demonstrate basic research abilities in compiling a material for their essay assignments, or small-scale presentations targeting their main professional concerns.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D0235" w:rsidP="004A6687">
            <w:pPr>
              <w:suppressAutoHyphens w:val="0"/>
              <w:spacing w:before="120"/>
              <w:ind w:left="357"/>
              <w:rPr>
                <w:rFonts w:ascii="Candara" w:hAnsi="Candara"/>
                <w:b/>
              </w:rPr>
            </w:pPr>
            <w:r>
              <w:rPr>
                <w:rFonts w:asciiTheme="minorHAnsi" w:hAnsiTheme="minorHAnsi"/>
                <w:lang w:val="en-US"/>
              </w:rPr>
              <w:t>The course opens with the topic of the scope and elements of visual arts in general, preparing grounds for the following specific topics: lines and shapes in visual arts (</w:t>
            </w:r>
            <w:r>
              <w:rPr>
                <w:rFonts w:asciiTheme="minorHAnsi" w:hAnsiTheme="minorHAnsi"/>
                <w:iCs/>
              </w:rPr>
              <w:t>d</w:t>
            </w:r>
            <w:r w:rsidRPr="00CD0235">
              <w:rPr>
                <w:rFonts w:asciiTheme="minorHAnsi" w:hAnsiTheme="minorHAnsi"/>
                <w:iCs/>
              </w:rPr>
              <w:t>ifferent forms of lines</w:t>
            </w:r>
            <w:r>
              <w:rPr>
                <w:rFonts w:asciiTheme="minorHAnsi" w:hAnsiTheme="minorHAnsi"/>
                <w:iCs/>
              </w:rPr>
              <w:t>,</w:t>
            </w:r>
            <w:r w:rsidRPr="00CD0235">
              <w:rPr>
                <w:rFonts w:asciiTheme="minorHAnsi" w:hAnsiTheme="minorHAnsi"/>
                <w:iCs/>
              </w:rPr>
              <w:t xml:space="preserve"> relationships between/among lines</w:t>
            </w:r>
            <w:r>
              <w:rPr>
                <w:rFonts w:asciiTheme="minorHAnsi" w:hAnsiTheme="minorHAnsi"/>
                <w:iCs/>
              </w:rPr>
              <w:t>,</w:t>
            </w:r>
            <w:r w:rsidRPr="00CD0235">
              <w:rPr>
                <w:rFonts w:asciiTheme="minorHAnsi" w:hAnsiTheme="minorHAnsi"/>
                <w:iCs/>
              </w:rPr>
              <w:t xml:space="preserve"> </w:t>
            </w:r>
            <w:r>
              <w:rPr>
                <w:rFonts w:asciiTheme="minorHAnsi" w:hAnsiTheme="minorHAnsi"/>
                <w:iCs/>
              </w:rPr>
              <w:t>v</w:t>
            </w:r>
            <w:r w:rsidRPr="00CD0235">
              <w:rPr>
                <w:rFonts w:asciiTheme="minorHAnsi" w:hAnsiTheme="minorHAnsi"/>
                <w:iCs/>
              </w:rPr>
              <w:t>isual effects of lines</w:t>
            </w:r>
            <w:r>
              <w:rPr>
                <w:rFonts w:asciiTheme="minorHAnsi" w:hAnsiTheme="minorHAnsi"/>
                <w:iCs/>
              </w:rPr>
              <w:t>,</w:t>
            </w:r>
            <w:r w:rsidRPr="00CD0235">
              <w:rPr>
                <w:rFonts w:asciiTheme="minorHAnsi" w:hAnsiTheme="minorHAnsi"/>
                <w:iCs/>
              </w:rPr>
              <w:t xml:space="preserve"> </w:t>
            </w:r>
            <w:r>
              <w:rPr>
                <w:rFonts w:asciiTheme="minorHAnsi" w:hAnsiTheme="minorHAnsi"/>
                <w:iCs/>
              </w:rPr>
              <w:t>d</w:t>
            </w:r>
            <w:r w:rsidRPr="00CD0235">
              <w:rPr>
                <w:rFonts w:asciiTheme="minorHAnsi" w:hAnsiTheme="minorHAnsi"/>
                <w:iCs/>
              </w:rPr>
              <w:t>ifferent shapes and their visual effects</w:t>
            </w:r>
            <w:r w:rsidR="00D157D0">
              <w:rPr>
                <w:rFonts w:asciiTheme="minorHAnsi" w:hAnsiTheme="minorHAnsi"/>
                <w:iCs/>
              </w:rPr>
              <w:t>);</w:t>
            </w:r>
            <w:r>
              <w:rPr>
                <w:rFonts w:asciiTheme="minorHAnsi" w:hAnsiTheme="minorHAnsi"/>
                <w:iCs/>
              </w:rPr>
              <w:t xml:space="preserve"> drawing </w:t>
            </w:r>
            <w:r w:rsidR="00D157D0">
              <w:rPr>
                <w:rFonts w:asciiTheme="minorHAnsi" w:hAnsiTheme="minorHAnsi"/>
                <w:iCs/>
              </w:rPr>
              <w:t>materials, tools and techniques;</w:t>
            </w:r>
            <w:r>
              <w:rPr>
                <w:rFonts w:asciiTheme="minorHAnsi" w:hAnsiTheme="minorHAnsi"/>
                <w:iCs/>
              </w:rPr>
              <w:t xml:space="preserve"> space and texture in visual arts (d</w:t>
            </w:r>
            <w:r w:rsidRPr="00CD0235">
              <w:rPr>
                <w:rFonts w:asciiTheme="minorHAnsi" w:hAnsiTheme="minorHAnsi"/>
                <w:iCs/>
              </w:rPr>
              <w:t>ifferent textures and their visual effects; “</w:t>
            </w:r>
            <w:r>
              <w:rPr>
                <w:rFonts w:asciiTheme="minorHAnsi" w:hAnsiTheme="minorHAnsi"/>
                <w:iCs/>
              </w:rPr>
              <w:t>s</w:t>
            </w:r>
            <w:r w:rsidRPr="00CD0235">
              <w:rPr>
                <w:rFonts w:asciiTheme="minorHAnsi" w:hAnsiTheme="minorHAnsi"/>
                <w:iCs/>
              </w:rPr>
              <w:t>pace management” in visual arts</w:t>
            </w:r>
            <w:r w:rsidR="00D157D0">
              <w:rPr>
                <w:rFonts w:asciiTheme="minorHAnsi" w:hAnsiTheme="minorHAnsi"/>
                <w:iCs/>
              </w:rPr>
              <w:t>);</w:t>
            </w:r>
            <w:r>
              <w:rPr>
                <w:rFonts w:asciiTheme="minorHAnsi" w:hAnsiTheme="minorHAnsi"/>
                <w:iCs/>
              </w:rPr>
              <w:t xml:space="preserve"> colour (colour wheel, hue, value, intensity</w:t>
            </w:r>
            <w:r w:rsidR="00617F64">
              <w:rPr>
                <w:rFonts w:asciiTheme="minorHAnsi" w:hAnsiTheme="minorHAnsi"/>
                <w:iCs/>
              </w:rPr>
              <w:t>, cross-cultural understanding/«reading« of colours; colour harmony (types and formulas, p</w:t>
            </w:r>
            <w:r w:rsidR="00617F64" w:rsidRPr="00CD0235">
              <w:rPr>
                <w:rFonts w:asciiTheme="minorHAnsi" w:hAnsiTheme="minorHAnsi"/>
                <w:iCs/>
              </w:rPr>
              <w:t>sychological effects of different colour schemes</w:t>
            </w:r>
            <w:r w:rsidR="00617F64">
              <w:rPr>
                <w:rFonts w:asciiTheme="minorHAnsi" w:hAnsiTheme="minorHAnsi"/>
                <w:iCs/>
              </w:rPr>
              <w:t>); composition (d</w:t>
            </w:r>
            <w:r w:rsidR="00617F64" w:rsidRPr="00CD0235">
              <w:rPr>
                <w:rFonts w:asciiTheme="minorHAnsi" w:hAnsiTheme="minorHAnsi"/>
                <w:iCs/>
              </w:rPr>
              <w:t>ifferent pictorial composition schemes</w:t>
            </w:r>
            <w:r w:rsidR="00617F64">
              <w:rPr>
                <w:rFonts w:asciiTheme="minorHAnsi" w:hAnsiTheme="minorHAnsi"/>
                <w:iCs/>
              </w:rPr>
              <w:t>); b</w:t>
            </w:r>
            <w:r w:rsidR="00617F64" w:rsidRPr="00CD0235">
              <w:rPr>
                <w:rFonts w:asciiTheme="minorHAnsi" w:hAnsiTheme="minorHAnsi"/>
                <w:iCs/>
              </w:rPr>
              <w:t xml:space="preserve">alance </w:t>
            </w:r>
            <w:r w:rsidR="00617F64">
              <w:rPr>
                <w:rFonts w:asciiTheme="minorHAnsi" w:hAnsiTheme="minorHAnsi"/>
                <w:iCs/>
              </w:rPr>
              <w:t>and</w:t>
            </w:r>
            <w:r w:rsidR="00617F64" w:rsidRPr="00CD0235">
              <w:rPr>
                <w:rFonts w:asciiTheme="minorHAnsi" w:hAnsiTheme="minorHAnsi"/>
                <w:iCs/>
              </w:rPr>
              <w:t xml:space="preserve"> proportion in painting/graphic design – similarities and differences</w:t>
            </w:r>
            <w:r w:rsidR="00617F64">
              <w:rPr>
                <w:rFonts w:asciiTheme="minorHAnsi" w:hAnsiTheme="minorHAnsi"/>
                <w:iCs/>
              </w:rPr>
              <w:t>; u</w:t>
            </w:r>
            <w:r w:rsidR="00617F64" w:rsidRPr="00CD0235">
              <w:rPr>
                <w:rFonts w:asciiTheme="minorHAnsi" w:hAnsiTheme="minorHAnsi"/>
                <w:iCs/>
              </w:rPr>
              <w:t xml:space="preserve">nity </w:t>
            </w:r>
            <w:r w:rsidR="00617F64">
              <w:rPr>
                <w:rFonts w:asciiTheme="minorHAnsi" w:hAnsiTheme="minorHAnsi"/>
                <w:iCs/>
              </w:rPr>
              <w:t>and</w:t>
            </w:r>
            <w:r w:rsidR="00617F64" w:rsidRPr="00CD0235">
              <w:rPr>
                <w:rFonts w:asciiTheme="minorHAnsi" w:hAnsiTheme="minorHAnsi"/>
                <w:iCs/>
              </w:rPr>
              <w:t xml:space="preserve"> </w:t>
            </w:r>
            <w:r w:rsidR="00617F64">
              <w:rPr>
                <w:rFonts w:asciiTheme="minorHAnsi" w:hAnsiTheme="minorHAnsi"/>
                <w:iCs/>
              </w:rPr>
              <w:t>v</w:t>
            </w:r>
            <w:r w:rsidR="00617F64" w:rsidRPr="00CD0235">
              <w:rPr>
                <w:rFonts w:asciiTheme="minorHAnsi" w:hAnsiTheme="minorHAnsi"/>
                <w:iCs/>
              </w:rPr>
              <w:t>ariety in painting/graphic design – similarities and differences</w:t>
            </w:r>
            <w:r w:rsidR="00617F64">
              <w:rPr>
                <w:rFonts w:asciiTheme="minorHAnsi" w:hAnsiTheme="minorHAnsi"/>
                <w:iCs/>
              </w:rPr>
              <w:t>; c</w:t>
            </w:r>
            <w:r w:rsidR="00617F64" w:rsidRPr="00CD0235">
              <w:rPr>
                <w:rFonts w:asciiTheme="minorHAnsi" w:hAnsiTheme="minorHAnsi"/>
                <w:iCs/>
              </w:rPr>
              <w:t xml:space="preserve">ontrast </w:t>
            </w:r>
            <w:r w:rsidR="00617F64">
              <w:rPr>
                <w:rFonts w:asciiTheme="minorHAnsi" w:hAnsiTheme="minorHAnsi"/>
                <w:iCs/>
              </w:rPr>
              <w:t>and</w:t>
            </w:r>
            <w:r w:rsidR="00617F64" w:rsidRPr="00CD0235">
              <w:rPr>
                <w:rFonts w:asciiTheme="minorHAnsi" w:hAnsiTheme="minorHAnsi"/>
                <w:iCs/>
              </w:rPr>
              <w:t xml:space="preserve"> </w:t>
            </w:r>
            <w:r w:rsidR="00617F64">
              <w:rPr>
                <w:rFonts w:asciiTheme="minorHAnsi" w:hAnsiTheme="minorHAnsi"/>
                <w:iCs/>
              </w:rPr>
              <w:t>e</w:t>
            </w:r>
            <w:r w:rsidR="00617F64" w:rsidRPr="00CD0235">
              <w:rPr>
                <w:rFonts w:asciiTheme="minorHAnsi" w:hAnsiTheme="minorHAnsi"/>
                <w:iCs/>
              </w:rPr>
              <w:t>mphasis in painting/graphic design – similarities and differences</w:t>
            </w:r>
            <w:r w:rsidR="00617F64">
              <w:rPr>
                <w:rFonts w:asciiTheme="minorHAnsi" w:hAnsiTheme="minorHAnsi"/>
                <w:iCs/>
              </w:rPr>
              <w:t>;</w:t>
            </w:r>
            <w:r w:rsidR="00617F64" w:rsidRPr="00CD0235">
              <w:rPr>
                <w:rFonts w:asciiTheme="minorHAnsi" w:hAnsiTheme="minorHAnsi"/>
                <w:i/>
                <w:iCs/>
              </w:rPr>
              <w:t xml:space="preserve"> </w:t>
            </w:r>
            <w:r w:rsidR="00617F64">
              <w:rPr>
                <w:rFonts w:asciiTheme="minorHAnsi" w:hAnsiTheme="minorHAnsi"/>
                <w:iCs/>
              </w:rPr>
              <w:t>rhythm, movement and</w:t>
            </w:r>
            <w:r w:rsidR="00617F64" w:rsidRPr="00CD0235">
              <w:rPr>
                <w:rFonts w:asciiTheme="minorHAnsi" w:hAnsiTheme="minorHAnsi"/>
                <w:iCs/>
              </w:rPr>
              <w:t xml:space="preserve"> direction in painting/graphic design – similarities and differences</w:t>
            </w:r>
            <w:r w:rsidR="00617F64">
              <w:rPr>
                <w:rFonts w:asciiTheme="minorHAnsi" w:hAnsiTheme="minorHAnsi"/>
                <w:iCs/>
              </w:rPr>
              <w:t xml:space="preserve">. Each topic is complemented with a </w:t>
            </w:r>
            <w:r w:rsidR="004A6687">
              <w:rPr>
                <w:rFonts w:asciiTheme="minorHAnsi" w:hAnsiTheme="minorHAnsi"/>
                <w:iCs/>
              </w:rPr>
              <w:t>language focus: adjectives, pa</w:t>
            </w:r>
            <w:r w:rsidR="00D157D0">
              <w:rPr>
                <w:rFonts w:asciiTheme="minorHAnsi" w:hAnsiTheme="minorHAnsi"/>
                <w:iCs/>
              </w:rPr>
              <w:t>ra</w:t>
            </w:r>
            <w:r w:rsidR="004A6687">
              <w:rPr>
                <w:rFonts w:asciiTheme="minorHAnsi" w:hAnsiTheme="minorHAnsi"/>
                <w:iCs/>
              </w:rPr>
              <w:t>l</w:t>
            </w:r>
            <w:r w:rsidR="00D157D0">
              <w:rPr>
                <w:rFonts w:asciiTheme="minorHAnsi" w:hAnsiTheme="minorHAnsi"/>
                <w:iCs/>
              </w:rPr>
              <w:t>lel structures in English, articles, word order, l</w:t>
            </w:r>
            <w:r w:rsidR="00D157D0" w:rsidRPr="00D157D0">
              <w:rPr>
                <w:rFonts w:asciiTheme="minorHAnsi" w:hAnsiTheme="minorHAnsi"/>
                <w:iCs/>
              </w:rPr>
              <w:t>inkers of contrast, reason and cause</w:t>
            </w:r>
            <w:r w:rsidR="00D157D0">
              <w:rPr>
                <w:rFonts w:asciiTheme="minorHAnsi" w:hAnsiTheme="minorHAnsi"/>
                <w:iCs/>
              </w:rPr>
              <w:t>, l</w:t>
            </w:r>
            <w:r w:rsidR="00D157D0" w:rsidRPr="00D157D0">
              <w:rPr>
                <w:rFonts w:asciiTheme="minorHAnsi" w:hAnsiTheme="minorHAnsi"/>
                <w:iCs/>
              </w:rPr>
              <w:t>inkers of purpose and consequence</w:t>
            </w:r>
            <w:r w:rsidR="00D157D0">
              <w:rPr>
                <w:rFonts w:asciiTheme="minorHAnsi" w:hAnsiTheme="minorHAnsi"/>
                <w:iCs/>
              </w:rPr>
              <w:t>, l</w:t>
            </w:r>
            <w:r w:rsidR="00D157D0" w:rsidRPr="00D157D0">
              <w:rPr>
                <w:rFonts w:asciiTheme="minorHAnsi" w:hAnsiTheme="minorHAnsi"/>
                <w:iCs/>
              </w:rPr>
              <w:t>inkers of addition, exemplification</w:t>
            </w:r>
            <w:r w:rsidR="00D157D0">
              <w:rPr>
                <w:rFonts w:asciiTheme="minorHAnsi" w:hAnsiTheme="minorHAnsi"/>
                <w:iCs/>
              </w:rPr>
              <w:t>. Aside from the mid-term progress test, the course includes one s</w:t>
            </w:r>
            <w:r w:rsidR="00D157D0" w:rsidRPr="00D157D0">
              <w:rPr>
                <w:rFonts w:asciiTheme="minorHAnsi" w:hAnsiTheme="minorHAnsi"/>
                <w:iCs/>
              </w:rPr>
              <w:t>mall-scale in-class assign</w:t>
            </w:r>
            <w:r w:rsidR="00D157D0">
              <w:rPr>
                <w:rFonts w:asciiTheme="minorHAnsi" w:hAnsiTheme="minorHAnsi"/>
                <w:iCs/>
              </w:rPr>
              <w:t>ment (a</w:t>
            </w:r>
            <w:r w:rsidR="00D157D0" w:rsidRPr="00D157D0">
              <w:rPr>
                <w:rFonts w:asciiTheme="minorHAnsi" w:hAnsiTheme="minorHAnsi"/>
                <w:iCs/>
              </w:rPr>
              <w:t>nalysis of line/shape/texture/space in the selected works of art</w:t>
            </w:r>
            <w:r w:rsidR="00D157D0">
              <w:rPr>
                <w:rFonts w:asciiTheme="minorHAnsi" w:hAnsiTheme="minorHAnsi"/>
                <w:iCs/>
              </w:rPr>
              <w:t>), a</w:t>
            </w:r>
            <w:r w:rsidR="00D157D0" w:rsidRPr="00D157D0">
              <w:rPr>
                <w:rFonts w:asciiTheme="minorHAnsi" w:hAnsiTheme="minorHAnsi"/>
                <w:iCs/>
              </w:rPr>
              <w:t xml:space="preserve"> </w:t>
            </w:r>
            <w:r w:rsidR="00D157D0" w:rsidRPr="00CD0235">
              <w:rPr>
                <w:rFonts w:asciiTheme="minorHAnsi" w:hAnsiTheme="minorHAnsi"/>
                <w:bCs/>
              </w:rPr>
              <w:t>presentation of the students’ designs of a logo/poster/book cover</w:t>
            </w:r>
            <w:r w:rsidR="00D157D0">
              <w:rPr>
                <w:rFonts w:asciiTheme="minorHAnsi" w:hAnsiTheme="minorHAnsi"/>
                <w:bCs/>
              </w:rPr>
              <w:t xml:space="preserve">, as well as one </w:t>
            </w:r>
            <w:r w:rsidR="00D157D0" w:rsidRPr="00D157D0">
              <w:rPr>
                <w:rFonts w:asciiTheme="minorHAnsi" w:hAnsiTheme="minorHAnsi"/>
              </w:rPr>
              <w:t>essay assignment to be presented at the exam</w:t>
            </w:r>
            <w:r w:rsidR="00D157D0">
              <w:rPr>
                <w:rFonts w:asciiTheme="minorHAnsi" w:hAnsiTheme="minorHAnsi"/>
                <w:i/>
              </w:rPr>
              <w:t xml:space="preserve"> </w:t>
            </w:r>
            <w:r w:rsidR="00D157D0" w:rsidRPr="004A6687">
              <w:rPr>
                <w:rFonts w:asciiTheme="minorHAnsi" w:hAnsiTheme="minorHAnsi"/>
              </w:rPr>
              <w:t>(a</w:t>
            </w:r>
            <w:r w:rsidR="00D157D0">
              <w:rPr>
                <w:rFonts w:asciiTheme="minorHAnsi" w:hAnsiTheme="minorHAnsi"/>
                <w:i/>
              </w:rPr>
              <w:t xml:space="preserve"> c</w:t>
            </w:r>
            <w:r w:rsidR="00D157D0" w:rsidRPr="00CD0235">
              <w:rPr>
                <w:rFonts w:asciiTheme="minorHAnsi" w:hAnsiTheme="minorHAnsi"/>
              </w:rPr>
              <w:t>omprehensive analysis of a chosen work of art</w:t>
            </w:r>
            <w:r w:rsidR="00D157D0">
              <w:rPr>
                <w:rFonts w:asciiTheme="minorHAnsi" w:hAnsiTheme="minorHAnsi"/>
              </w:rPr>
              <w:t>).</w:t>
            </w:r>
            <w:r w:rsidR="00D157D0" w:rsidRPr="00CD0235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27EEE" w:rsidP="00CB1BBF">
            <w:pPr>
              <w:tabs>
                <w:tab w:val="left" w:pos="360"/>
              </w:tabs>
              <w:spacing w:before="120"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</w:t>
            </w:r>
            <w:r w:rsidR="00F87D1E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27E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F87D1E">
              <w:rPr>
                <w:rFonts w:ascii="Candara" w:hAnsi="Candara"/>
                <w:b/>
              </w:rPr>
              <w:t xml:space="preserve">  (50)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F87D1E">
              <w:rPr>
                <w:rFonts w:ascii="Candara" w:hAnsi="Candara"/>
                <w:b/>
              </w:rPr>
              <w:t xml:space="preserve"> (50)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05" w:rsidRDefault="00073A05" w:rsidP="00864926">
      <w:pPr>
        <w:spacing w:after="0" w:line="240" w:lineRule="auto"/>
      </w:pPr>
      <w:r>
        <w:separator/>
      </w:r>
    </w:p>
  </w:endnote>
  <w:endnote w:type="continuationSeparator" w:id="1">
    <w:p w:rsidR="00073A05" w:rsidRDefault="00073A0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FrizQuadrata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05" w:rsidRDefault="00073A05" w:rsidP="00864926">
      <w:pPr>
        <w:spacing w:after="0" w:line="240" w:lineRule="auto"/>
      </w:pPr>
      <w:r>
        <w:separator/>
      </w:r>
    </w:p>
  </w:footnote>
  <w:footnote w:type="continuationSeparator" w:id="1">
    <w:p w:rsidR="00073A05" w:rsidRDefault="00073A0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7BF27B4"/>
    <w:multiLevelType w:val="hybridMultilevel"/>
    <w:tmpl w:val="AA2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3AFF"/>
    <w:multiLevelType w:val="hybridMultilevel"/>
    <w:tmpl w:val="F190C280"/>
    <w:lvl w:ilvl="0" w:tplc="A2C28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FrizQuadrataR" w:eastAsia="Times New Roman" w:hAnsi="YUFrizQuadrat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75BBB"/>
    <w:multiLevelType w:val="hybridMultilevel"/>
    <w:tmpl w:val="9E629EF4"/>
    <w:lvl w:ilvl="0" w:tplc="A2C28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FrizQuadrataR" w:eastAsia="Times New Roman" w:hAnsi="YUFrizQuadrat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223F7"/>
    <w:multiLevelType w:val="hybridMultilevel"/>
    <w:tmpl w:val="C16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694A"/>
    <w:rsid w:val="00073A05"/>
    <w:rsid w:val="000F6001"/>
    <w:rsid w:val="001D3BF1"/>
    <w:rsid w:val="001D64D3"/>
    <w:rsid w:val="001F14FA"/>
    <w:rsid w:val="001F60E3"/>
    <w:rsid w:val="002212BD"/>
    <w:rsid w:val="002319B6"/>
    <w:rsid w:val="002774B8"/>
    <w:rsid w:val="002956AF"/>
    <w:rsid w:val="002C140B"/>
    <w:rsid w:val="00315601"/>
    <w:rsid w:val="00323176"/>
    <w:rsid w:val="003B18E6"/>
    <w:rsid w:val="003B32A9"/>
    <w:rsid w:val="003C177A"/>
    <w:rsid w:val="003F7796"/>
    <w:rsid w:val="00406F80"/>
    <w:rsid w:val="00431EFA"/>
    <w:rsid w:val="00493925"/>
    <w:rsid w:val="004A6687"/>
    <w:rsid w:val="004D1C7E"/>
    <w:rsid w:val="004E562D"/>
    <w:rsid w:val="005A5D38"/>
    <w:rsid w:val="005B0885"/>
    <w:rsid w:val="005B64BF"/>
    <w:rsid w:val="005D46D7"/>
    <w:rsid w:val="00603117"/>
    <w:rsid w:val="00617F64"/>
    <w:rsid w:val="0069043C"/>
    <w:rsid w:val="006E40AE"/>
    <w:rsid w:val="006F647C"/>
    <w:rsid w:val="00721FBD"/>
    <w:rsid w:val="00783C57"/>
    <w:rsid w:val="00792CB4"/>
    <w:rsid w:val="007B2B43"/>
    <w:rsid w:val="00864926"/>
    <w:rsid w:val="008A30CE"/>
    <w:rsid w:val="008B1D6B"/>
    <w:rsid w:val="008C31B7"/>
    <w:rsid w:val="008F01F3"/>
    <w:rsid w:val="00902861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1A9F"/>
    <w:rsid w:val="00B9521A"/>
    <w:rsid w:val="00BD3504"/>
    <w:rsid w:val="00C44F58"/>
    <w:rsid w:val="00C63234"/>
    <w:rsid w:val="00CA6D81"/>
    <w:rsid w:val="00CB1BBF"/>
    <w:rsid w:val="00CC23C3"/>
    <w:rsid w:val="00CC7CA4"/>
    <w:rsid w:val="00CD0235"/>
    <w:rsid w:val="00CD17F1"/>
    <w:rsid w:val="00D157D0"/>
    <w:rsid w:val="00D92F39"/>
    <w:rsid w:val="00DA2FC7"/>
    <w:rsid w:val="00DB43CC"/>
    <w:rsid w:val="00E1222F"/>
    <w:rsid w:val="00E15DD1"/>
    <w:rsid w:val="00E27EEE"/>
    <w:rsid w:val="00E44B29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7D1E"/>
    <w:rsid w:val="00FA616B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F01F3"/>
    <w:rPr>
      <w:i/>
      <w:iCs/>
    </w:rPr>
  </w:style>
  <w:style w:type="character" w:customStyle="1" w:styleId="apple-converted-space">
    <w:name w:val="apple-converted-space"/>
    <w:basedOn w:val="DefaultParagraphFont"/>
    <w:rsid w:val="008F01F3"/>
  </w:style>
  <w:style w:type="paragraph" w:styleId="BodyText">
    <w:name w:val="Body Text"/>
    <w:basedOn w:val="Normal"/>
    <w:link w:val="BodyTextChar"/>
    <w:rsid w:val="00CD0235"/>
    <w:pPr>
      <w:suppressAutoHyphens w:val="0"/>
      <w:spacing w:after="0" w:line="240" w:lineRule="auto"/>
    </w:pPr>
    <w:rPr>
      <w:rFonts w:ascii="Verdana" w:hAnsi="Verdana" w:cs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rsid w:val="00CD0235"/>
    <w:rPr>
      <w:rFonts w:ascii="Verdana" w:eastAsia="Times New Roman" w:hAnsi="Verdana" w:cs="Tahoma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8C58-A24D-4B89-8242-25DF0E4D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2016-04-22T11:51:00Z</dcterms:created>
  <dcterms:modified xsi:type="dcterms:W3CDTF">2016-04-22T11:51:00Z</dcterms:modified>
</cp:coreProperties>
</file>