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93D28" w:rsidRDefault="00AF49F9" w:rsidP="00097A0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Periodontolog</w:t>
            </w:r>
            <w:r w:rsidR="00097A0A">
              <w:rPr>
                <w:rFonts w:ascii="Candara" w:hAnsi="Candara"/>
                <w:b/>
                <w:sz w:val="24"/>
                <w:szCs w:val="24"/>
              </w:rPr>
              <w:t>y</w:t>
            </w:r>
            <w:proofErr w:type="spell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925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925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F49F9" w:rsidRDefault="00AF49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AF49F9">
              <w:rPr>
                <w:rFonts w:ascii="Candara" w:hAnsi="Candara"/>
                <w:b/>
                <w:sz w:val="22"/>
                <w:szCs w:val="22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F49F9" w:rsidRDefault="00AF49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F49F9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F49F9" w:rsidRDefault="00F815A1" w:rsidP="00AF49F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AF49F9">
              <w:rPr>
                <w:rFonts w:ascii="Candara" w:hAnsi="Candara"/>
                <w:b/>
                <w:sz w:val="22"/>
                <w:szCs w:val="22"/>
              </w:rPr>
              <w:t xml:space="preserve">Full </w:t>
            </w:r>
            <w:proofErr w:type="spellStart"/>
            <w:r w:rsidRPr="00AF49F9">
              <w:rPr>
                <w:rFonts w:ascii="Candara" w:hAnsi="Candara"/>
                <w:b/>
                <w:sz w:val="22"/>
                <w:szCs w:val="22"/>
              </w:rPr>
              <w:t>prof</w:t>
            </w:r>
            <w:proofErr w:type="spellEnd"/>
            <w:r w:rsidRPr="00AF49F9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AF49F9">
              <w:rPr>
                <w:rFonts w:ascii="Candara" w:hAnsi="Candara"/>
                <w:b/>
                <w:sz w:val="22"/>
                <w:szCs w:val="22"/>
              </w:rPr>
              <w:t>Ljiljana</w:t>
            </w:r>
            <w:proofErr w:type="spellEnd"/>
            <w:r w:rsidRPr="00AF49F9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AF49F9">
              <w:rPr>
                <w:rFonts w:ascii="Candara" w:hAnsi="Candara"/>
                <w:b/>
                <w:sz w:val="22"/>
                <w:szCs w:val="22"/>
              </w:rPr>
              <w:t>Kesi</w:t>
            </w:r>
            <w:proofErr w:type="spellEnd"/>
            <w:r w:rsidRPr="00AF49F9">
              <w:rPr>
                <w:rFonts w:ascii="Candara" w:hAnsi="Candara"/>
                <w:b/>
                <w:sz w:val="22"/>
                <w:szCs w:val="22"/>
                <w:lang w:val="sr-Latn-CS"/>
              </w:rPr>
              <w:t xml:space="preserve">ć, Assoc prof </w:t>
            </w:r>
            <w:r w:rsidR="00AF49F9" w:rsidRPr="00AF49F9">
              <w:rPr>
                <w:rFonts w:ascii="Candara" w:hAnsi="Candara"/>
                <w:b/>
                <w:sz w:val="22"/>
                <w:szCs w:val="22"/>
                <w:lang w:val="sr-Latn-CS"/>
              </w:rPr>
              <w:t>R</w:t>
            </w:r>
            <w:r w:rsidRPr="00AF49F9">
              <w:rPr>
                <w:rFonts w:ascii="Candara" w:hAnsi="Candara"/>
                <w:b/>
                <w:sz w:val="22"/>
                <w:szCs w:val="22"/>
                <w:lang w:val="sr-Latn-CS"/>
              </w:rPr>
              <w:t>admila Obradović, Assoc prof Ana Pejčić</w:t>
            </w:r>
            <w:r w:rsidRPr="00AF49F9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D3D63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185278396"/>
              </w:sdtPr>
              <w:sdtContent>
                <w:r w:rsidRPr="000D3D63">
                  <w:rPr>
                    <w:rFonts w:ascii="Times New Roman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b/>
                <w:sz w:val="22"/>
                <w:szCs w:val="22"/>
              </w:rPr>
              <w:t>Lectures</w:t>
            </w: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3B32A9" w:rsidRPr="000D3D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44222395"/>
              </w:sdtPr>
              <w:sdtContent>
                <w:r w:rsidRPr="000D3D63">
                  <w:rPr>
                    <w:rFonts w:ascii="Times New Roman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b/>
                <w:sz w:val="22"/>
                <w:szCs w:val="22"/>
              </w:rPr>
              <w:t>Group tutorials</w:t>
            </w: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022922688"/>
              </w:sdtPr>
              <w:sdtContent>
                <w:r w:rsidRPr="000D3D63">
                  <w:rPr>
                    <w:rFonts w:ascii="Times New Roman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b/>
                <w:sz w:val="22"/>
                <w:szCs w:val="22"/>
              </w:rPr>
              <w:t xml:space="preserve"> Individual tutorials</w:t>
            </w:r>
          </w:p>
          <w:p w:rsidR="00603117" w:rsidRPr="000D3D63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0861310"/>
              </w:sdtPr>
              <w:sdtContent>
                <w:r w:rsidRPr="000D3D63">
                  <w:rPr>
                    <w:rFonts w:ascii="Times New Roman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sz w:val="22"/>
                <w:szCs w:val="22"/>
              </w:rPr>
              <w:t xml:space="preserve">Laboratory work </w:t>
            </w:r>
            <w:r w:rsidR="003B32A9" w:rsidRPr="000D3D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58537906"/>
              </w:sdtPr>
              <w:sdtContent>
                <w:r w:rsidRPr="000D3D63">
                  <w:rPr>
                    <w:rFonts w:ascii="Times New Roman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sz w:val="22"/>
                <w:szCs w:val="22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365140939"/>
              </w:sdtPr>
              <w:sdtContent>
                <w:r w:rsidRPr="000D3D63">
                  <w:rPr>
                    <w:rFonts w:ascii="Times New Roman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b/>
                <w:sz w:val="22"/>
                <w:szCs w:val="22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D3D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6580725"/>
              </w:sdtPr>
              <w:sdtContent>
                <w:r w:rsidR="003B32A9" w:rsidRPr="000D3D63">
                  <w:rPr>
                    <w:rFonts w:ascii="Times New Roman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sz w:val="22"/>
                <w:szCs w:val="22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43446048"/>
              </w:sdtPr>
              <w:sdtContent>
                <w:r w:rsidR="003B32A9" w:rsidRPr="000D3D63">
                  <w:rPr>
                    <w:rFonts w:ascii="Times New Roman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sz w:val="22"/>
                <w:szCs w:val="22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89722728"/>
              </w:sdtPr>
              <w:sdtContent>
                <w:r w:rsidR="003B32A9" w:rsidRPr="000D3D63">
                  <w:rPr>
                    <w:rFonts w:ascii="Times New Roman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Pr="000D3D63">
              <w:rPr>
                <w:rFonts w:ascii="Times New Roman" w:hAnsi="Times New Roman"/>
                <w:b/>
                <w:sz w:val="22"/>
                <w:szCs w:val="22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C3993" w:rsidRDefault="00193E2D" w:rsidP="00193E2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To introduce students to diagnostics and therapy of gingival inflammation and periodontal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diseasess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such as juvenile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, refractory periodontal disease,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chronical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. Students are supposed to master conservative therapy of gingivitis and </w:t>
            </w:r>
            <w:proofErr w:type="spellStart"/>
            <w:proofErr w:type="gram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 and</w:t>
            </w:r>
            <w:proofErr w:type="gram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to recognize indications and contraindications for surgical therapy of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C3993" w:rsidRDefault="00AF7ED9" w:rsidP="00217F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Students </w:t>
            </w:r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>learn anatomic</w:t>
            </w:r>
            <w:r w:rsidR="003C3993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and histologic</w:t>
            </w:r>
            <w:r w:rsidR="003C3993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structure of periodontal tissues, </w:t>
            </w:r>
            <w:proofErr w:type="spellStart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>etiology</w:t>
            </w:r>
            <w:proofErr w:type="spellEnd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, clinical features, diagnostic methods, complications, </w:t>
            </w:r>
            <w:proofErr w:type="spellStart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>diferential</w:t>
            </w:r>
            <w:proofErr w:type="spellEnd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 diagnosis of </w:t>
            </w:r>
            <w:proofErr w:type="spellStart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="003C3993"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C3993">
              <w:rPr>
                <w:rFonts w:ascii="Times New Roman" w:hAnsi="Times New Roman"/>
                <w:b/>
                <w:sz w:val="24"/>
                <w:szCs w:val="24"/>
              </w:rPr>
              <w:t xml:space="preserve">pathogenesis of </w:t>
            </w:r>
            <w:proofErr w:type="spellStart"/>
            <w:r w:rsidR="003C3993">
              <w:rPr>
                <w:rFonts w:ascii="Times New Roman" w:hAnsi="Times New Roman"/>
                <w:b/>
                <w:sz w:val="24"/>
                <w:szCs w:val="24"/>
              </w:rPr>
              <w:t>periodontitis</w:t>
            </w:r>
            <w:proofErr w:type="spellEnd"/>
            <w:r w:rsidR="003C3993">
              <w:rPr>
                <w:rFonts w:ascii="Times New Roman" w:hAnsi="Times New Roman"/>
                <w:b/>
                <w:sz w:val="24"/>
                <w:szCs w:val="24"/>
              </w:rPr>
              <w:t>, treatment methods</w:t>
            </w:r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. Students have clinical practice </w:t>
            </w:r>
            <w:r w:rsidR="003C3993">
              <w:rPr>
                <w:rFonts w:ascii="Times New Roman" w:hAnsi="Times New Roman"/>
                <w:b/>
                <w:sz w:val="24"/>
                <w:szCs w:val="24"/>
              </w:rPr>
              <w:t xml:space="preserve">concerned on basic therapy – </w:t>
            </w:r>
            <w:r w:rsidR="00217FFA">
              <w:rPr>
                <w:rFonts w:ascii="Times New Roman" w:hAnsi="Times New Roman"/>
                <w:b/>
                <w:sz w:val="24"/>
                <w:szCs w:val="24"/>
              </w:rPr>
              <w:t xml:space="preserve">dental plaque, dental calculus and pigmentation </w:t>
            </w:r>
            <w:r w:rsidR="003C3993">
              <w:rPr>
                <w:rFonts w:ascii="Times New Roman" w:hAnsi="Times New Roman"/>
                <w:b/>
                <w:sz w:val="24"/>
                <w:szCs w:val="24"/>
              </w:rPr>
              <w:t>removing</w:t>
            </w:r>
            <w:r w:rsidR="00217FFA">
              <w:rPr>
                <w:rFonts w:ascii="Times New Roman" w:hAnsi="Times New Roman"/>
                <w:b/>
                <w:sz w:val="24"/>
                <w:szCs w:val="24"/>
              </w:rPr>
              <w:t xml:space="preserve">, curettage of periodontal pockets.  </w:t>
            </w:r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Diagnostic tests such a laboratory</w:t>
            </w:r>
            <w:proofErr w:type="gram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,  swabs</w:t>
            </w:r>
            <w:proofErr w:type="gram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patohistology</w:t>
            </w:r>
            <w:proofErr w:type="spellEnd"/>
            <w:r w:rsidRPr="003C3993">
              <w:rPr>
                <w:rFonts w:ascii="Times New Roman" w:hAnsi="Times New Roman"/>
                <w:b/>
                <w:sz w:val="24"/>
                <w:szCs w:val="24"/>
              </w:rPr>
              <w:t>, radiology are the main diagnostic methods which students learn.</w:t>
            </w:r>
            <w:r w:rsidR="00217FFA">
              <w:rPr>
                <w:rFonts w:ascii="Times New Roman" w:hAnsi="Times New Roman"/>
                <w:b/>
                <w:sz w:val="24"/>
                <w:szCs w:val="24"/>
              </w:rPr>
              <w:t xml:space="preserve"> Also, students learn regular techniques of oral hygiene.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925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925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407D1" w:rsidRDefault="009407D1" w:rsidP="009407D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– 4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940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940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examination</w:t>
            </w:r>
            <w:r w:rsidR="009407D1">
              <w:rPr>
                <w:rFonts w:ascii="Candara" w:hAnsi="Candara"/>
                <w:b/>
                <w:sz w:val="24"/>
                <w:szCs w:val="24"/>
              </w:rPr>
              <w:t xml:space="preserve">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9407D1">
              <w:rPr>
                <w:rFonts w:ascii="Candara" w:hAnsi="Candara"/>
                <w:b/>
                <w:sz w:val="24"/>
                <w:szCs w:val="24"/>
              </w:rPr>
              <w:t>2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0</w:t>
            </w:r>
          </w:p>
          <w:p w:rsidR="00824DCE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</w:t>
            </w:r>
            <w:r w:rsidR="009407D1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    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940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36" w:rsidRDefault="00592436" w:rsidP="00864926">
      <w:pPr>
        <w:spacing w:after="0" w:line="240" w:lineRule="auto"/>
      </w:pPr>
      <w:r>
        <w:separator/>
      </w:r>
    </w:p>
  </w:endnote>
  <w:endnote w:type="continuationSeparator" w:id="0">
    <w:p w:rsidR="00592436" w:rsidRDefault="005924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36" w:rsidRDefault="00592436" w:rsidP="00864926">
      <w:pPr>
        <w:spacing w:after="0" w:line="240" w:lineRule="auto"/>
      </w:pPr>
      <w:r>
        <w:separator/>
      </w:r>
    </w:p>
  </w:footnote>
  <w:footnote w:type="continuationSeparator" w:id="0">
    <w:p w:rsidR="00592436" w:rsidRDefault="005924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102AC"/>
    <w:multiLevelType w:val="hybridMultilevel"/>
    <w:tmpl w:val="CB7CF16A"/>
    <w:lvl w:ilvl="0" w:tplc="A31291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247"/>
    <w:multiLevelType w:val="hybridMultilevel"/>
    <w:tmpl w:val="0660097C"/>
    <w:lvl w:ilvl="0" w:tplc="98162F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533A"/>
    <w:multiLevelType w:val="hybridMultilevel"/>
    <w:tmpl w:val="DE46B91A"/>
    <w:lvl w:ilvl="0" w:tplc="C0A8A0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61EF9"/>
    <w:rsid w:val="0006402B"/>
    <w:rsid w:val="00097A0A"/>
    <w:rsid w:val="000D3D63"/>
    <w:rsid w:val="000F6001"/>
    <w:rsid w:val="00122223"/>
    <w:rsid w:val="00193E2D"/>
    <w:rsid w:val="001D3BF1"/>
    <w:rsid w:val="001D64D3"/>
    <w:rsid w:val="001F14FA"/>
    <w:rsid w:val="001F60E3"/>
    <w:rsid w:val="00217FFA"/>
    <w:rsid w:val="002319B6"/>
    <w:rsid w:val="00234F6F"/>
    <w:rsid w:val="00315601"/>
    <w:rsid w:val="00323176"/>
    <w:rsid w:val="003B32A9"/>
    <w:rsid w:val="003C177A"/>
    <w:rsid w:val="003C2E5A"/>
    <w:rsid w:val="003C3993"/>
    <w:rsid w:val="00406F80"/>
    <w:rsid w:val="00431EFA"/>
    <w:rsid w:val="00452F99"/>
    <w:rsid w:val="00493925"/>
    <w:rsid w:val="004D1C7E"/>
    <w:rsid w:val="004E562D"/>
    <w:rsid w:val="005433FF"/>
    <w:rsid w:val="00592436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4DCE"/>
    <w:rsid w:val="00864926"/>
    <w:rsid w:val="00893D28"/>
    <w:rsid w:val="008A30CE"/>
    <w:rsid w:val="008B1D6B"/>
    <w:rsid w:val="008C31B7"/>
    <w:rsid w:val="00911529"/>
    <w:rsid w:val="00932B21"/>
    <w:rsid w:val="009407D1"/>
    <w:rsid w:val="00972302"/>
    <w:rsid w:val="009906EA"/>
    <w:rsid w:val="009D3F5E"/>
    <w:rsid w:val="009F3F9F"/>
    <w:rsid w:val="00A10286"/>
    <w:rsid w:val="00A1335D"/>
    <w:rsid w:val="00AF47A6"/>
    <w:rsid w:val="00AF49F9"/>
    <w:rsid w:val="00AF7ED9"/>
    <w:rsid w:val="00B50491"/>
    <w:rsid w:val="00B54668"/>
    <w:rsid w:val="00B9521A"/>
    <w:rsid w:val="00BD3504"/>
    <w:rsid w:val="00C63234"/>
    <w:rsid w:val="00CA6D81"/>
    <w:rsid w:val="00CC23C3"/>
    <w:rsid w:val="00CD17F1"/>
    <w:rsid w:val="00D925D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15A1"/>
    <w:rsid w:val="00F834C8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BB8B-1DF3-4EDB-9642-C804352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16</cp:revision>
  <cp:lastPrinted>2015-12-23T11:47:00Z</cp:lastPrinted>
  <dcterms:created xsi:type="dcterms:W3CDTF">2016-03-15T09:41:00Z</dcterms:created>
  <dcterms:modified xsi:type="dcterms:W3CDTF">2016-04-08T07:09:00Z</dcterms:modified>
</cp:coreProperties>
</file>