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4548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45482" w:rsidP="00E857F8">
            <w:pPr>
              <w:spacing w:line="240" w:lineRule="auto"/>
              <w:contextualSpacing/>
              <w:jc w:val="left"/>
              <w:rPr>
                <w:rFonts w:ascii="Candara" w:hAnsi="Candara"/>
              </w:rPr>
            </w:pPr>
            <w:r>
              <w:rPr>
                <w:rFonts w:ascii="Candara" w:hAnsi="Candara"/>
              </w:rPr>
              <w:t>Gynecology with obstetrics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015DC" w:rsidP="00545482">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545482">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015DC" w:rsidP="00545482">
            <w:pPr>
              <w:spacing w:line="240" w:lineRule="auto"/>
              <w:contextualSpacing/>
              <w:jc w:val="left"/>
              <w:rPr>
                <w:rFonts w:ascii="Candara" w:hAnsi="Candara"/>
              </w:rPr>
            </w:pPr>
            <w:sdt>
              <w:sdtPr>
                <w:rPr>
                  <w:rFonts w:ascii="Candara" w:hAnsi="Candara"/>
                </w:rPr>
                <w:id w:val="485128928"/>
              </w:sdtPr>
              <w:sdtContent>
                <w:r w:rsidR="00545482">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54548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545482">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sidR="00545482">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45482" w:rsidP="00E857F8">
            <w:pPr>
              <w:spacing w:line="240" w:lineRule="auto"/>
              <w:contextualSpacing/>
              <w:jc w:val="left"/>
              <w:rPr>
                <w:rFonts w:ascii="Candara" w:hAnsi="Candara"/>
              </w:rPr>
            </w:pPr>
            <w:r>
              <w:rPr>
                <w:rFonts w:ascii="Candara" w:hAnsi="Candara"/>
              </w:rPr>
              <w:t>5</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45482" w:rsidP="00E857F8">
            <w:pPr>
              <w:spacing w:line="240" w:lineRule="auto"/>
              <w:contextualSpacing/>
              <w:jc w:val="left"/>
              <w:rPr>
                <w:rFonts w:ascii="Candara" w:hAnsi="Candara"/>
              </w:rPr>
            </w:pPr>
            <w:r>
              <w:rPr>
                <w:rFonts w:ascii="Candara" w:hAnsi="Candara"/>
              </w:rPr>
              <w:t>9</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5"/>
              <w:gridCol w:w="2203"/>
            </w:tblGrid>
            <w:tr w:rsidR="00545482" w:rsidRPr="00545482" w:rsidTr="00545482">
              <w:trPr>
                <w:trHeight w:val="284"/>
              </w:trPr>
              <w:tc>
                <w:tcPr>
                  <w:tcW w:w="31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Поповић Д. Јасмина</w:t>
                  </w:r>
                </w:p>
              </w:tc>
              <w:tc>
                <w:tcPr>
                  <w:tcW w:w="18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вaнрeдни прoфeсoр</w:t>
                  </w:r>
                </w:p>
              </w:tc>
            </w:tr>
            <w:tr w:rsidR="00545482" w:rsidRPr="00545482" w:rsidTr="00545482">
              <w:trPr>
                <w:trHeight w:val="284"/>
              </w:trPr>
              <w:tc>
                <w:tcPr>
                  <w:tcW w:w="31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Живадиновић С. Радомир</w:t>
                  </w:r>
                </w:p>
              </w:tc>
              <w:tc>
                <w:tcPr>
                  <w:tcW w:w="18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ванредни професор</w:t>
                  </w:r>
                </w:p>
              </w:tc>
            </w:tr>
            <w:tr w:rsidR="00545482" w:rsidRPr="00545482" w:rsidTr="00545482">
              <w:trPr>
                <w:trHeight w:val="284"/>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Радовић-Јаношевић Ж. Драгана</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дoцeнт</w:t>
                  </w:r>
                </w:p>
              </w:tc>
            </w:tr>
            <w:tr w:rsidR="00545482" w:rsidRPr="00545482" w:rsidTr="00545482">
              <w:trPr>
                <w:trHeight w:val="284"/>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Стефановић Б. Милан</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дoцeнт</w:t>
                  </w:r>
                </w:p>
              </w:tc>
            </w:tr>
            <w:tr w:rsidR="00545482" w:rsidRPr="00545482" w:rsidTr="00545482">
              <w:trPr>
                <w:trHeight w:val="284"/>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Кутлешић М. Ранко</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дoцeнт</w:t>
                  </w:r>
                </w:p>
              </w:tc>
            </w:tr>
            <w:tr w:rsidR="00545482" w:rsidRPr="00545482" w:rsidTr="00545482">
              <w:trPr>
                <w:trHeight w:val="284"/>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Петрић Н. Александра</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доцент</w:t>
                  </w:r>
                </w:p>
              </w:tc>
            </w:tr>
            <w:tr w:rsidR="00545482" w:rsidRPr="00545482" w:rsidTr="00545482">
              <w:trPr>
                <w:trHeight w:val="284"/>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Вукомановић М. Предраг</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доцент</w:t>
                  </w:r>
                </w:p>
              </w:tc>
            </w:tr>
            <w:tr w:rsidR="00545482" w:rsidRPr="00545482" w:rsidTr="00545482">
              <w:trPr>
                <w:trHeight w:val="284"/>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Митић С. Дејан</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aсистeнт</w:t>
                  </w:r>
                </w:p>
              </w:tc>
            </w:tr>
            <w:tr w:rsidR="00545482" w:rsidRPr="00545482" w:rsidTr="00545482">
              <w:trPr>
                <w:trHeight w:val="284"/>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Милошевић Д. Јелена</w:t>
                  </w:r>
                </w:p>
              </w:tc>
              <w:tc>
                <w:tcPr>
                  <w:tcW w:w="1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482" w:rsidRPr="00545482" w:rsidRDefault="00545482" w:rsidP="00545482">
                  <w:pPr>
                    <w:suppressAutoHyphens w:val="0"/>
                    <w:spacing w:before="100" w:beforeAutospacing="1" w:after="0" w:line="240" w:lineRule="auto"/>
                    <w:jc w:val="left"/>
                    <w:rPr>
                      <w:rFonts w:ascii="Times New Roman" w:hAnsi="Times New Roman"/>
                      <w:sz w:val="24"/>
                      <w:szCs w:val="24"/>
                      <w:lang w:val="sr-Latn-CS" w:eastAsia="sr-Latn-CS"/>
                    </w:rPr>
                  </w:pPr>
                  <w:r w:rsidRPr="00545482">
                    <w:rPr>
                      <w:rFonts w:cs="Arial"/>
                      <w:color w:val="000000"/>
                      <w:sz w:val="16"/>
                      <w:szCs w:val="16"/>
                      <w:lang w:val="sr-Latn-CS" w:eastAsia="sr-Latn-CS"/>
                    </w:rPr>
                    <w:t>aсистeнт</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A32861" w:rsidRDefault="00603117" w:rsidP="00603117">
            <w:pPr>
              <w:spacing w:line="240" w:lineRule="auto"/>
              <w:contextualSpacing/>
              <w:jc w:val="left"/>
              <w:rPr>
                <w:rFonts w:ascii="Candara" w:hAnsi="Candara"/>
                <w:lang w:val="en-US"/>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545482">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545482">
                  <w:rPr>
                    <w:rFonts w:ascii="MS Gothic" w:eastAsia="MS Gothic" w:hAnsi="MS Gothic"/>
                  </w:rPr>
                  <w:t>x</w:t>
                </w:r>
              </w:sdtContent>
            </w:sdt>
            <w:r>
              <w:rPr>
                <w:rFonts w:ascii="Candara" w:hAnsi="Candara"/>
              </w:rPr>
              <w:t xml:space="preserve">  Seminar</w:t>
            </w:r>
          </w:p>
          <w:p w:rsidR="00603117" w:rsidRPr="00B54668" w:rsidRDefault="00603117" w:rsidP="00545482">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545482">
                  <w:rPr>
                    <w:rFonts w:ascii="MS Gothic" w:eastAsia="MS Gothic" w:hAnsi="MS Gothic"/>
                  </w:rPr>
                  <w:t>x</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A32861" w:rsidP="00911529">
            <w:pPr>
              <w:spacing w:line="240" w:lineRule="auto"/>
              <w:contextualSpacing/>
              <w:jc w:val="left"/>
              <w:rPr>
                <w:rFonts w:ascii="Candara" w:hAnsi="Candara"/>
                <w:i/>
              </w:rPr>
            </w:pPr>
            <w:r>
              <w:rPr>
                <w:rFonts w:ascii="Arial Narrow" w:hAnsi="Arial Narrow"/>
                <w:sz w:val="24"/>
                <w:szCs w:val="24"/>
              </w:rPr>
              <w:t>Acquisition, understanding, use, analysis, and evaluation of knowledge and skills in gynecology and obstetrics.</w:t>
            </w:r>
            <w:r>
              <w:rPr>
                <w:rFonts w:ascii="Candara" w:hAnsi="Candara"/>
                <w:i/>
              </w:rPr>
              <w:t xml:space="preserve"> </w:t>
            </w:r>
            <w:r>
              <w:rPr>
                <w:rFonts w:ascii="Arial Narrow" w:hAnsi="Arial Narrow"/>
                <w:sz w:val="24"/>
                <w:szCs w:val="24"/>
              </w:rPr>
              <w:t>Ability of a general practitioner to recognize a gynecological disease or gestational period and to refer the patient in an appropriate institution, and, if needed, perform the delivery.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A32861" w:rsidRDefault="00A32861" w:rsidP="00A32861">
            <w:pPr>
              <w:spacing w:after="0" w:line="240" w:lineRule="auto"/>
              <w:rPr>
                <w:rFonts w:ascii="Arial Narrow" w:hAnsi="Arial Narrow"/>
                <w:i/>
                <w:sz w:val="24"/>
                <w:szCs w:val="24"/>
                <w:u w:val="single"/>
              </w:rPr>
            </w:pPr>
            <w:r>
              <w:rPr>
                <w:rFonts w:ascii="Arial Narrow" w:hAnsi="Arial Narrow"/>
                <w:i/>
                <w:sz w:val="24"/>
                <w:szCs w:val="24"/>
                <w:u w:val="single"/>
              </w:rPr>
              <w:lastRenderedPageBreak/>
              <w:t>Theory</w:t>
            </w:r>
          </w:p>
          <w:p w:rsidR="00A32861" w:rsidRDefault="00A32861" w:rsidP="00A32861">
            <w:pPr>
              <w:spacing w:after="0" w:line="240" w:lineRule="auto"/>
              <w:rPr>
                <w:rFonts w:ascii="Arial Narrow" w:hAnsi="Arial Narrow"/>
                <w:sz w:val="24"/>
                <w:szCs w:val="24"/>
              </w:rPr>
            </w:pPr>
            <w:r>
              <w:rPr>
                <w:rFonts w:ascii="Arial Narrow" w:hAnsi="Arial Narrow"/>
                <w:sz w:val="24"/>
                <w:szCs w:val="24"/>
              </w:rPr>
              <w:t>Anatomy and embryology of female reproductive organs. Physiology of female reproductive organs. Female life cycles: adolescence, reproductive age, menopause, senile age. Etiology, diagnosis, and therapy. Inflammation of female genital organs. Pelveoperitonitis. Diffuse peritonitis of gynecological origin. Genital tuberculosis. Endometriosis. Benign and malignant tumors of the genital organs. Pregnancy. Physiology of pregnancy. Differential diagnostic procedures. Embryogenesis. Fetal growth and development. Fetal anomalies. Delivery and mechanisms of normal and pathological delivery. Birth canal, birth object, delivery forces. Bleeding during pregnancy and delivery. Newborn. Lactation. Normal and pathological puerperium. Abortion. Ectopic pregnancy, diagnosis and therapy. Gynecological and obstetrical operations. Marital sterility. Contraception.</w:t>
            </w:r>
          </w:p>
          <w:p w:rsidR="00A32861" w:rsidRDefault="00A32861" w:rsidP="00A32861">
            <w:pPr>
              <w:spacing w:after="0" w:line="240" w:lineRule="auto"/>
              <w:rPr>
                <w:rFonts w:ascii="Arial Narrow" w:hAnsi="Arial Narrow"/>
                <w:sz w:val="24"/>
                <w:szCs w:val="24"/>
              </w:rPr>
            </w:pPr>
            <w:r>
              <w:rPr>
                <w:rFonts w:ascii="Arial Narrow" w:hAnsi="Arial Narrow"/>
                <w:i/>
                <w:sz w:val="24"/>
                <w:szCs w:val="24"/>
                <w:u w:val="single"/>
              </w:rPr>
              <w:t>Practice</w:t>
            </w:r>
          </w:p>
          <w:p w:rsidR="00B54668" w:rsidRPr="00B54668" w:rsidRDefault="00A32861" w:rsidP="00A32861">
            <w:pPr>
              <w:tabs>
                <w:tab w:val="left" w:pos="360"/>
              </w:tabs>
              <w:spacing w:after="0" w:line="240" w:lineRule="auto"/>
              <w:jc w:val="left"/>
              <w:rPr>
                <w:rFonts w:ascii="Candara" w:hAnsi="Candara"/>
                <w:b/>
              </w:rPr>
            </w:pPr>
            <w:r>
              <w:rPr>
                <w:rFonts w:ascii="Arial Narrow" w:hAnsi="Arial Narrow"/>
                <w:sz w:val="24"/>
                <w:szCs w:val="24"/>
              </w:rPr>
              <w:t>Specific aspects of work in a gynecology examination room. Behavior and attitude of students towards the patient. History taking. General examination. Gynecological examination, inspection, palpation, use of a speculum. Practical demonstration. Anatomical structure of external genital organs, patient position during the examination, position of a gynecologist during the examination. Practice on a patient, supervised by a teaching assistant. Individual practice of bimanual examination and speculum examination. Demonstration of normal condition of internal genital organs. Preparation for minor gynecological interventions. Patient preparation (washing of external genital organs, shaving, vaginal wash, disinfection of the operation field, proper sending of operation material to the lab). Demonstration of vaginal swab sampling for bacteriological analysis, cytology, biopsy demonstration, explorative curettage demonstration. Demonstration of patient preparation for artificial abortion. Preparation of gynecologic surgeons, preparation and overview of instruments for abortion. Demonstration of cervical canal dilation and instrumental evacuation of uterine cavity contents. Demonstration of principles and techniques of histeroscopy, HSG, insufflation, and laparoscopy. Demonstration of patient preparation for gynecologic surgery via vaginal or abdominal access. Preoperative preparation, immediate preparation, stay in the operation room (functioning in the operation room, operation demonstration). Specific aspects of work in obstetrics room and delivery room. Behavior and attitude of students towards pregnant and puerperal women. Insight into pregnancy and delivery. Examination of pregnant and puerperal women (history, preparation, external and internal gynecological examination). Delivery factors (natural delivery force, delivery route, delivery object). Demonstration of a normal delivery in the delivery room (first, second, third, fourth delivery phase). Demonstration of the delivery mechanism and pathological delivery (pelvic, transversal, gemelli, anomalies, rotations, deflexion positions). Demonstration of obstetrical operations. Preparation for obstetrical operation and performance. Demonstration of delivery under the cardiotocographic control in the delivery room. Normal and pathological CTG. Ultrasound in pregnancy and delivery (establishing anterior fetal position, fetal size, fetal death, anomalies, diseases).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015DC" w:rsidP="00E857F8">
            <w:pPr>
              <w:tabs>
                <w:tab w:val="left" w:pos="360"/>
              </w:tabs>
              <w:spacing w:after="0" w:line="240" w:lineRule="auto"/>
              <w:jc w:val="left"/>
              <w:rPr>
                <w:rFonts w:ascii="Candara" w:hAnsi="Candara"/>
              </w:rPr>
            </w:pPr>
            <w:sdt>
              <w:sdtPr>
                <w:rPr>
                  <w:rFonts w:ascii="Candara" w:hAnsi="Candara"/>
                </w:rPr>
                <w:id w:val="99386002"/>
              </w:sdtPr>
              <w:sdtContent>
                <w:r w:rsidR="00A32861">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A32861">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015D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3286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A32861"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A32861"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3286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32861"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A32861"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rsidR="001F14FA" w:rsidRDefault="00A32861"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A32861" w:rsidRPr="00B54668" w:rsidTr="001F14FA">
        <w:trPr>
          <w:trHeight w:val="562"/>
        </w:trPr>
        <w:tc>
          <w:tcPr>
            <w:tcW w:w="2550" w:type="dxa"/>
            <w:shd w:val="clear" w:color="auto" w:fill="auto"/>
            <w:vAlign w:val="center"/>
          </w:tcPr>
          <w:p w:rsidR="00A32861" w:rsidRDefault="00A32861" w:rsidP="00E857F8">
            <w:pPr>
              <w:tabs>
                <w:tab w:val="left" w:pos="360"/>
              </w:tabs>
              <w:spacing w:after="0" w:line="240" w:lineRule="auto"/>
              <w:jc w:val="left"/>
              <w:rPr>
                <w:rFonts w:ascii="Candara" w:hAnsi="Candara"/>
                <w:b/>
              </w:rPr>
            </w:pPr>
            <w:r>
              <w:rPr>
                <w:rFonts w:ascii="Candara" w:hAnsi="Candara"/>
                <w:b/>
              </w:rPr>
              <w:lastRenderedPageBreak/>
              <w:t>Tests</w:t>
            </w:r>
          </w:p>
        </w:tc>
        <w:tc>
          <w:tcPr>
            <w:tcW w:w="1575" w:type="dxa"/>
            <w:gridSpan w:val="2"/>
            <w:shd w:val="clear" w:color="auto" w:fill="auto"/>
            <w:vAlign w:val="center"/>
          </w:tcPr>
          <w:p w:rsidR="00A32861" w:rsidRDefault="00A32861"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A32861" w:rsidRDefault="00A32861" w:rsidP="00E857F8">
            <w:pPr>
              <w:tabs>
                <w:tab w:val="left" w:pos="360"/>
              </w:tabs>
              <w:spacing w:after="0" w:line="240" w:lineRule="auto"/>
              <w:jc w:val="left"/>
              <w:rPr>
                <w:rFonts w:ascii="Candara" w:hAnsi="Candara"/>
                <w:b/>
              </w:rPr>
            </w:pPr>
          </w:p>
        </w:tc>
        <w:tc>
          <w:tcPr>
            <w:tcW w:w="3060" w:type="dxa"/>
            <w:shd w:val="clear" w:color="auto" w:fill="auto"/>
            <w:vAlign w:val="center"/>
          </w:tcPr>
          <w:p w:rsidR="00A32861" w:rsidRDefault="00A32861" w:rsidP="00E857F8">
            <w:pPr>
              <w:tabs>
                <w:tab w:val="left" w:pos="360"/>
              </w:tabs>
              <w:spacing w:after="0" w:line="240" w:lineRule="auto"/>
              <w:jc w:val="left"/>
              <w:rPr>
                <w:rFonts w:ascii="Candara" w:hAnsi="Candara"/>
                <w:b/>
              </w:rPr>
            </w:pP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CB" w:rsidRDefault="004152CB" w:rsidP="00864926">
      <w:pPr>
        <w:spacing w:after="0" w:line="240" w:lineRule="auto"/>
      </w:pPr>
      <w:r>
        <w:separator/>
      </w:r>
    </w:p>
  </w:endnote>
  <w:endnote w:type="continuationSeparator" w:id="0">
    <w:p w:rsidR="004152CB" w:rsidRDefault="004152C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CB" w:rsidRDefault="004152CB" w:rsidP="00864926">
      <w:pPr>
        <w:spacing w:after="0" w:line="240" w:lineRule="auto"/>
      </w:pPr>
      <w:r>
        <w:separator/>
      </w:r>
    </w:p>
  </w:footnote>
  <w:footnote w:type="continuationSeparator" w:id="0">
    <w:p w:rsidR="004152CB" w:rsidRDefault="004152C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152CB"/>
    <w:rsid w:val="00431EFA"/>
    <w:rsid w:val="00493925"/>
    <w:rsid w:val="004D1C7E"/>
    <w:rsid w:val="004E562D"/>
    <w:rsid w:val="00545482"/>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32861"/>
    <w:rsid w:val="00AF47A6"/>
    <w:rsid w:val="00B015DC"/>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545482"/>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545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94146479">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3B164-547C-43F0-ABFA-E16494B2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2</cp:revision>
  <cp:lastPrinted>2015-12-23T11:47:00Z</cp:lastPrinted>
  <dcterms:created xsi:type="dcterms:W3CDTF">2016-04-20T09:56:00Z</dcterms:created>
  <dcterms:modified xsi:type="dcterms:W3CDTF">2016-04-20T09:56:00Z</dcterms:modified>
</cp:coreProperties>
</file>