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91"/>
        <w:gridCol w:w="467"/>
        <w:gridCol w:w="664"/>
        <w:gridCol w:w="996"/>
        <w:gridCol w:w="770"/>
        <w:gridCol w:w="195"/>
        <w:gridCol w:w="450"/>
        <w:gridCol w:w="571"/>
        <w:gridCol w:w="3359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7B2C4E" w:rsidRDefault="00CE6E53" w:rsidP="00CE6E5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CE6E5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 Management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CE6E53" w:rsidRDefault="0003112B" w:rsidP="009C421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Technical physics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E6312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6312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6312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6312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2345937"/>
                  </w:sdtPr>
                  <w:sdtContent>
                    <w:r w:rsidR="00C25C2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6312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345938"/>
                  </w:sdtPr>
                  <w:sdtContent>
                    <w:r w:rsidR="00C25C2A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6312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A53BC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6312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95994"/>
                  </w:sdtPr>
                  <w:sdtContent>
                    <w:r w:rsidR="00A53BC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9C421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C25C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A53BC4" w:rsidRDefault="00C25C2A" w:rsidP="00C25C2A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Mića</w:t>
            </w:r>
            <w:proofErr w:type="spellEnd"/>
            <w:r w:rsidRPr="00C25C2A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US"/>
              </w:rPr>
              <w:t>Vukić</w:t>
            </w:r>
            <w:proofErr w:type="spellEnd"/>
            <w:r w:rsidRPr="00C25C2A">
              <w:rPr>
                <w:rFonts w:ascii="Candara" w:hAnsi="Candara" w:cs="Arial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 w:cs="Arial"/>
                <w:lang w:val="en-US"/>
              </w:rPr>
              <w:t>Goran</w:t>
            </w:r>
            <w:proofErr w:type="spellEnd"/>
            <w:r w:rsidRPr="00C25C2A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US"/>
              </w:rPr>
              <w:t>Janevski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 w:cs="Arial"/>
                <w:lang w:val="en-US"/>
              </w:rPr>
              <w:t>Jelena</w:t>
            </w:r>
            <w:proofErr w:type="spellEnd"/>
            <w:r w:rsidRPr="00C25C2A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US"/>
              </w:rPr>
              <w:t>Manojlović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 w:cs="Arial"/>
                <w:lang w:val="en-US"/>
              </w:rPr>
              <w:t>Živojin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US"/>
              </w:rPr>
              <w:t>Stamenković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6312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6312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6312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6312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302016"/>
                  </w:sdtPr>
                  <w:sdtContent>
                    <w:r w:rsidR="00CE6E5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6312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95996"/>
                  </w:sdtPr>
                  <w:sdtContent>
                    <w:r w:rsidR="00A53BC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6312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302019"/>
                  </w:sdtPr>
                  <w:sdtContent>
                    <w:r w:rsidR="004F357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6312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6312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6312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232919"/>
              </w:sdtPr>
              <w:sdtContent>
                <w:sdt>
                  <w:sdtPr>
                    <w:rPr>
                      <w:rFonts w:ascii="Candara" w:hAnsi="Candara"/>
                    </w:rPr>
                    <w:id w:val="595997"/>
                  </w:sdtPr>
                  <w:sdtContent>
                    <w:r w:rsidR="00A53BC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C25C2A" w:rsidRPr="0050692F" w:rsidRDefault="008A073F" w:rsidP="00C25C2A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50692F">
              <w:rPr>
                <w:rFonts w:ascii="Candara" w:hAnsi="Candara"/>
                <w:i/>
              </w:rPr>
              <w:t xml:space="preserve">Introduce students </w:t>
            </w:r>
            <w:r w:rsidR="0050692F" w:rsidRPr="0050692F">
              <w:rPr>
                <w:rFonts w:ascii="Candara" w:hAnsi="Candara"/>
                <w:i/>
              </w:rPr>
              <w:t xml:space="preserve">with the </w:t>
            </w:r>
            <w:r w:rsidR="00C25C2A">
              <w:rPr>
                <w:rFonts w:ascii="Candara" w:hAnsi="Candara"/>
                <w:i/>
              </w:rPr>
              <w:t>fundamental knowledge in the fields of electricity, mechanics, fluid mechanics and thermodynamics.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25C2A" w:rsidRDefault="00C25C2A" w:rsidP="00C25C2A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 w:cs="LinLibertineO"/>
              </w:rPr>
            </w:pPr>
            <w:proofErr w:type="gramStart"/>
            <w:r>
              <w:rPr>
                <w:rFonts w:ascii="Candara" w:hAnsi="Candara" w:cs="LinLibertineO"/>
              </w:rPr>
              <w:t xml:space="preserve">1) </w:t>
            </w:r>
            <w:r w:rsidRPr="00C25C2A">
              <w:rPr>
                <w:rFonts w:ascii="Candara" w:hAnsi="Candara" w:cs="LinLibertineO"/>
              </w:rPr>
              <w:t>Basic concepts of electricity and electrical properties of the substance.</w:t>
            </w:r>
            <w:proofErr w:type="gramEnd"/>
            <w:r w:rsidRPr="00C25C2A">
              <w:rPr>
                <w:rFonts w:ascii="Candara" w:hAnsi="Candara" w:cs="LinLibertineO"/>
              </w:rPr>
              <w:t xml:space="preserve"> </w:t>
            </w:r>
            <w:proofErr w:type="gramStart"/>
            <w:r w:rsidRPr="00C25C2A">
              <w:rPr>
                <w:rFonts w:ascii="Candara" w:hAnsi="Candara" w:cs="LinLibertineO"/>
              </w:rPr>
              <w:t>Coulomb's law.</w:t>
            </w:r>
            <w:proofErr w:type="gramEnd"/>
            <w:r w:rsidRPr="00C25C2A">
              <w:rPr>
                <w:rFonts w:ascii="Candara" w:hAnsi="Candara" w:cs="LinLibertineO"/>
              </w:rPr>
              <w:t xml:space="preserve"> </w:t>
            </w:r>
            <w:proofErr w:type="gramStart"/>
            <w:r w:rsidRPr="00C25C2A">
              <w:rPr>
                <w:rFonts w:ascii="Candara" w:hAnsi="Candara" w:cs="LinLibertineO"/>
              </w:rPr>
              <w:t>The electric field.</w:t>
            </w:r>
            <w:proofErr w:type="gramEnd"/>
            <w:r w:rsidRPr="00C25C2A">
              <w:rPr>
                <w:rFonts w:ascii="Candara" w:hAnsi="Candara" w:cs="LinLibertineO"/>
              </w:rPr>
              <w:t xml:space="preserve"> </w:t>
            </w:r>
            <w:proofErr w:type="gramStart"/>
            <w:r w:rsidRPr="00C25C2A">
              <w:rPr>
                <w:rFonts w:ascii="Candara" w:hAnsi="Candara" w:cs="LinLibertineO"/>
              </w:rPr>
              <w:t>Electric potential.</w:t>
            </w:r>
            <w:proofErr w:type="gramEnd"/>
            <w:r w:rsidRPr="00C25C2A">
              <w:rPr>
                <w:rFonts w:ascii="Candara" w:hAnsi="Candara" w:cs="LinLibertineO"/>
              </w:rPr>
              <w:t xml:space="preserve"> </w:t>
            </w:r>
            <w:proofErr w:type="gramStart"/>
            <w:r w:rsidRPr="00C25C2A">
              <w:rPr>
                <w:rFonts w:ascii="Candara" w:hAnsi="Candara" w:cs="LinLibertineO"/>
              </w:rPr>
              <w:t>C</w:t>
            </w:r>
            <w:r>
              <w:rPr>
                <w:rFonts w:ascii="Candara" w:hAnsi="Candara" w:cs="LinLibertineO"/>
              </w:rPr>
              <w:t>apacitance.</w:t>
            </w:r>
            <w:proofErr w:type="gramEnd"/>
            <w:r>
              <w:rPr>
                <w:rFonts w:ascii="Candara" w:hAnsi="Candara" w:cs="LinLibertineO"/>
              </w:rPr>
              <w:t xml:space="preserve"> </w:t>
            </w:r>
            <w:proofErr w:type="gramStart"/>
            <w:r>
              <w:rPr>
                <w:rFonts w:ascii="Candara" w:hAnsi="Candara" w:cs="LinLibertineO"/>
              </w:rPr>
              <w:t>Electric capacitors</w:t>
            </w:r>
            <w:r w:rsidRPr="00C25C2A">
              <w:rPr>
                <w:rFonts w:ascii="Candara" w:hAnsi="Candara" w:cs="LinLibertineO"/>
              </w:rPr>
              <w:t>.</w:t>
            </w:r>
            <w:proofErr w:type="gramEnd"/>
            <w:r w:rsidRPr="00C25C2A">
              <w:rPr>
                <w:rFonts w:ascii="Candara" w:hAnsi="Candara" w:cs="LinLibertineO"/>
              </w:rPr>
              <w:t xml:space="preserve"> </w:t>
            </w:r>
            <w:proofErr w:type="gramStart"/>
            <w:r w:rsidRPr="00C25C2A">
              <w:rPr>
                <w:rFonts w:ascii="Candara" w:hAnsi="Candara" w:cs="LinLibertineO"/>
              </w:rPr>
              <w:t>Electric current and current density.</w:t>
            </w:r>
            <w:proofErr w:type="gramEnd"/>
            <w:r w:rsidRPr="00C25C2A">
              <w:rPr>
                <w:rFonts w:ascii="Candara" w:hAnsi="Candara" w:cs="LinLibertineO"/>
              </w:rPr>
              <w:t xml:space="preserve"> </w:t>
            </w:r>
            <w:proofErr w:type="gramStart"/>
            <w:r w:rsidRPr="00C25C2A">
              <w:rPr>
                <w:rFonts w:ascii="Candara" w:hAnsi="Candara" w:cs="LinLibertineO"/>
              </w:rPr>
              <w:t>Ohm's law.</w:t>
            </w:r>
            <w:proofErr w:type="gramEnd"/>
            <w:r w:rsidRPr="00C25C2A">
              <w:rPr>
                <w:rFonts w:ascii="Candara" w:hAnsi="Candara" w:cs="LinLibertineO"/>
              </w:rPr>
              <w:t xml:space="preserve"> </w:t>
            </w:r>
            <w:proofErr w:type="gramStart"/>
            <w:r w:rsidRPr="00C25C2A">
              <w:rPr>
                <w:rFonts w:ascii="Candara" w:hAnsi="Candara" w:cs="LinLibertineO"/>
              </w:rPr>
              <w:t>Joule's law.</w:t>
            </w:r>
            <w:proofErr w:type="gramEnd"/>
            <w:r w:rsidRPr="00C25C2A">
              <w:rPr>
                <w:rFonts w:ascii="Candara" w:hAnsi="Candara" w:cs="LinLibertineO"/>
              </w:rPr>
              <w:t xml:space="preserve"> </w:t>
            </w:r>
            <w:proofErr w:type="gramStart"/>
            <w:r w:rsidRPr="00C25C2A">
              <w:rPr>
                <w:rFonts w:ascii="Candara" w:hAnsi="Candara" w:cs="LinLibertineO"/>
              </w:rPr>
              <w:t xml:space="preserve">I </w:t>
            </w:r>
            <w:r>
              <w:rPr>
                <w:rFonts w:ascii="Candara" w:hAnsi="Candara" w:cs="LinLibertineO"/>
              </w:rPr>
              <w:t>and II Kirchhoff</w:t>
            </w:r>
            <w:proofErr w:type="gramEnd"/>
            <w:r>
              <w:rPr>
                <w:rFonts w:ascii="Candara" w:hAnsi="Candara" w:cs="LinLibertineO"/>
              </w:rPr>
              <w:t xml:space="preserve"> law. </w:t>
            </w:r>
            <w:proofErr w:type="gramStart"/>
            <w:r>
              <w:rPr>
                <w:rFonts w:ascii="Candara" w:hAnsi="Candara" w:cs="LinLibertineO"/>
              </w:rPr>
              <w:t>Resistors</w:t>
            </w:r>
            <w:r w:rsidRPr="00C25C2A">
              <w:rPr>
                <w:rFonts w:ascii="Candara" w:hAnsi="Candara" w:cs="LinLibertineO"/>
              </w:rPr>
              <w:t>.</w:t>
            </w:r>
            <w:proofErr w:type="gramEnd"/>
            <w:r w:rsidRPr="00C25C2A">
              <w:rPr>
                <w:rFonts w:ascii="Candara" w:hAnsi="Candara" w:cs="LinLibertineO"/>
              </w:rPr>
              <w:t xml:space="preserve"> </w:t>
            </w:r>
            <w:proofErr w:type="gramStart"/>
            <w:r w:rsidRPr="00C25C2A">
              <w:rPr>
                <w:rFonts w:ascii="Candara" w:hAnsi="Candara" w:cs="LinLibertineO"/>
              </w:rPr>
              <w:t>Magnetic induction.</w:t>
            </w:r>
            <w:proofErr w:type="gramEnd"/>
            <w:r w:rsidRPr="00C25C2A">
              <w:rPr>
                <w:rFonts w:ascii="Candara" w:hAnsi="Candara" w:cs="LinLibertineO"/>
              </w:rPr>
              <w:t xml:space="preserve"> </w:t>
            </w:r>
            <w:proofErr w:type="gramStart"/>
            <w:r w:rsidRPr="00C25C2A">
              <w:rPr>
                <w:rFonts w:ascii="Candara" w:hAnsi="Candara" w:cs="LinLibertineO"/>
              </w:rPr>
              <w:t>Magnetic flux.</w:t>
            </w:r>
            <w:proofErr w:type="gramEnd"/>
            <w:r w:rsidRPr="00C25C2A">
              <w:rPr>
                <w:rFonts w:ascii="Candara" w:hAnsi="Candara" w:cs="LinLibertineO"/>
              </w:rPr>
              <w:t xml:space="preserve"> </w:t>
            </w:r>
            <w:proofErr w:type="gramStart"/>
            <w:r w:rsidRPr="00C25C2A">
              <w:rPr>
                <w:rFonts w:ascii="Candara" w:hAnsi="Candara" w:cs="LinLibertineO"/>
              </w:rPr>
              <w:t>Magnetic properties of materials</w:t>
            </w:r>
            <w:r>
              <w:rPr>
                <w:rFonts w:ascii="Candara" w:hAnsi="Candara" w:cs="LinLibertineO"/>
              </w:rPr>
              <w:t>.</w:t>
            </w:r>
            <w:proofErr w:type="gramEnd"/>
            <w:r>
              <w:rPr>
                <w:rFonts w:ascii="Candara" w:hAnsi="Candara" w:cs="LinLibertineO"/>
              </w:rPr>
              <w:t xml:space="preserve"> </w:t>
            </w:r>
            <w:proofErr w:type="gramStart"/>
            <w:r>
              <w:rPr>
                <w:rFonts w:ascii="Candara" w:hAnsi="Candara" w:cs="LinLibertineO"/>
              </w:rPr>
              <w:t>Energy of the magnetic field</w:t>
            </w:r>
            <w:r w:rsidRPr="00C25C2A">
              <w:rPr>
                <w:rFonts w:ascii="Candara" w:hAnsi="Candara" w:cs="LinLibertineO"/>
              </w:rPr>
              <w:t>.</w:t>
            </w:r>
            <w:proofErr w:type="gramEnd"/>
            <w:r w:rsidRPr="00C25C2A">
              <w:rPr>
                <w:rFonts w:ascii="Candara" w:hAnsi="Candara" w:cs="LinLibertineO"/>
              </w:rPr>
              <w:t xml:space="preserve"> </w:t>
            </w:r>
            <w:proofErr w:type="gramStart"/>
            <w:r w:rsidRPr="00C25C2A">
              <w:rPr>
                <w:rFonts w:ascii="Candara" w:hAnsi="Candara" w:cs="LinLibertineO"/>
              </w:rPr>
              <w:t>Th</w:t>
            </w:r>
            <w:r>
              <w:rPr>
                <w:rFonts w:ascii="Candara" w:hAnsi="Candara" w:cs="LinLibertineO"/>
              </w:rPr>
              <w:t>e current in R, LC and RLC circuits.</w:t>
            </w:r>
            <w:proofErr w:type="gramEnd"/>
          </w:p>
          <w:p w:rsidR="00C25C2A" w:rsidRPr="00C25C2A" w:rsidRDefault="00C25C2A" w:rsidP="00C25C2A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 w:cs="LinLibertineO"/>
              </w:rPr>
            </w:pPr>
            <w:proofErr w:type="gramStart"/>
            <w:r>
              <w:rPr>
                <w:rFonts w:ascii="Candara" w:hAnsi="Candara" w:cs="LinLibertineO"/>
              </w:rPr>
              <w:t>2) T</w:t>
            </w:r>
            <w:r w:rsidRPr="00C25C2A">
              <w:rPr>
                <w:rFonts w:ascii="Candara" w:hAnsi="Candara" w:cs="LinLibertineO"/>
              </w:rPr>
              <w:t>he concept of force in mechanics, torque, force-coupled and systems of forces, basic concepts of kinematics, Motion, reference system.</w:t>
            </w:r>
            <w:proofErr w:type="gramEnd"/>
            <w:r w:rsidRPr="00C25C2A">
              <w:rPr>
                <w:rFonts w:ascii="Candara" w:hAnsi="Candara" w:cs="LinLibertineO"/>
              </w:rPr>
              <w:t xml:space="preserve"> Position vector, velocity, acceleration, tangential and normal components of acceleration, general laws of particle dynamics.</w:t>
            </w:r>
          </w:p>
          <w:p w:rsidR="00C25C2A" w:rsidRDefault="00D34854" w:rsidP="00C25C2A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 w:cs="LinLibertineO"/>
              </w:rPr>
            </w:pPr>
            <w:proofErr w:type="gramStart"/>
            <w:r>
              <w:rPr>
                <w:rFonts w:ascii="Candara" w:hAnsi="Candara" w:cs="LinLibertineO"/>
              </w:rPr>
              <w:t>3) Physical properties of fluids.</w:t>
            </w:r>
            <w:proofErr w:type="gramEnd"/>
            <w:r>
              <w:rPr>
                <w:rFonts w:ascii="Candara" w:hAnsi="Candara" w:cs="LinLibertineO"/>
              </w:rPr>
              <w:t xml:space="preserve"> </w:t>
            </w:r>
            <w:proofErr w:type="gramStart"/>
            <w:r>
              <w:rPr>
                <w:rFonts w:ascii="Candara" w:hAnsi="Candara" w:cs="LinLibertineO"/>
              </w:rPr>
              <w:t>Forces in fluid.</w:t>
            </w:r>
            <w:proofErr w:type="gramEnd"/>
            <w:r>
              <w:rPr>
                <w:rFonts w:ascii="Candara" w:hAnsi="Candara" w:cs="LinLibertineO"/>
              </w:rPr>
              <w:t xml:space="preserve"> </w:t>
            </w:r>
            <w:proofErr w:type="gramStart"/>
            <w:r>
              <w:rPr>
                <w:rFonts w:ascii="Candara" w:hAnsi="Candara" w:cs="LinLibertineO"/>
              </w:rPr>
              <w:t>Density, viscosity, compressibility.</w:t>
            </w:r>
            <w:proofErr w:type="gramEnd"/>
            <w:r>
              <w:rPr>
                <w:rFonts w:ascii="Candara" w:hAnsi="Candara" w:cs="LinLibertineO"/>
              </w:rPr>
              <w:t xml:space="preserve"> </w:t>
            </w:r>
            <w:proofErr w:type="gramStart"/>
            <w:r>
              <w:rPr>
                <w:rFonts w:ascii="Candara" w:hAnsi="Candara" w:cs="LinLibertineO"/>
              </w:rPr>
              <w:t>Fluid statics.</w:t>
            </w:r>
            <w:proofErr w:type="gramEnd"/>
            <w:r>
              <w:rPr>
                <w:rFonts w:ascii="Candara" w:hAnsi="Candara" w:cs="LinLibertineO"/>
              </w:rPr>
              <w:t xml:space="preserve"> </w:t>
            </w:r>
            <w:proofErr w:type="gramStart"/>
            <w:r>
              <w:rPr>
                <w:rFonts w:ascii="Candara" w:hAnsi="Candara" w:cs="LinLibertineO"/>
              </w:rPr>
              <w:t>Pressure, basic hydrostatic equation.</w:t>
            </w:r>
            <w:proofErr w:type="gramEnd"/>
            <w:r>
              <w:rPr>
                <w:rFonts w:ascii="Candara" w:hAnsi="Candara" w:cs="LinLibertineO"/>
              </w:rPr>
              <w:t xml:space="preserve"> </w:t>
            </w:r>
            <w:proofErr w:type="gramStart"/>
            <w:r>
              <w:rPr>
                <w:rFonts w:ascii="Candara" w:hAnsi="Candara" w:cs="LinLibertineO"/>
              </w:rPr>
              <w:t>Relative equilibrium of fluids.</w:t>
            </w:r>
            <w:proofErr w:type="gramEnd"/>
            <w:r>
              <w:rPr>
                <w:rFonts w:ascii="Candara" w:hAnsi="Candara" w:cs="LinLibertineO"/>
              </w:rPr>
              <w:t xml:space="preserve">  </w:t>
            </w:r>
            <w:proofErr w:type="gramStart"/>
            <w:r>
              <w:rPr>
                <w:rFonts w:ascii="Candara" w:hAnsi="Candara" w:cs="LinLibertineO"/>
              </w:rPr>
              <w:t>Pressure on flat and curved surfaces.</w:t>
            </w:r>
            <w:proofErr w:type="gramEnd"/>
            <w:r>
              <w:rPr>
                <w:rFonts w:ascii="Candara" w:hAnsi="Candara" w:cs="LinLibertineO"/>
              </w:rPr>
              <w:t xml:space="preserve"> </w:t>
            </w:r>
            <w:proofErr w:type="gramStart"/>
            <w:r>
              <w:rPr>
                <w:rFonts w:ascii="Candara" w:hAnsi="Candara" w:cs="LinLibertineO"/>
              </w:rPr>
              <w:t>Buoyancy and stability.</w:t>
            </w:r>
            <w:proofErr w:type="gramEnd"/>
            <w:r>
              <w:rPr>
                <w:rFonts w:ascii="Candara" w:hAnsi="Candara" w:cs="LinLibertineO"/>
              </w:rPr>
              <w:t xml:space="preserve"> Friction and local loses in pipelines.</w:t>
            </w:r>
          </w:p>
          <w:p w:rsidR="00433BB4" w:rsidRPr="0042304A" w:rsidRDefault="00D34854" w:rsidP="0042304A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 w:cs="LinLibertineO"/>
              </w:rPr>
            </w:pPr>
            <w:r>
              <w:rPr>
                <w:rFonts w:ascii="Candara" w:hAnsi="Candara" w:cs="LinLibertineO"/>
              </w:rPr>
              <w:t>4) "Working body"</w:t>
            </w:r>
            <w:r w:rsidRPr="00D34854">
              <w:rPr>
                <w:rFonts w:ascii="Candara" w:hAnsi="Candara" w:cs="LinLibertineO"/>
              </w:rPr>
              <w:t xml:space="preserve">. </w:t>
            </w:r>
            <w:proofErr w:type="gramStart"/>
            <w:r>
              <w:rPr>
                <w:rFonts w:ascii="Candara" w:hAnsi="Candara" w:cs="LinLibertineO"/>
              </w:rPr>
              <w:t>Thermodynamic state variables.</w:t>
            </w:r>
            <w:proofErr w:type="gramEnd"/>
            <w:r>
              <w:rPr>
                <w:rFonts w:ascii="Candara" w:hAnsi="Candara" w:cs="LinLibertineO"/>
              </w:rPr>
              <w:t xml:space="preserve"> </w:t>
            </w:r>
            <w:proofErr w:type="gramStart"/>
            <w:r>
              <w:rPr>
                <w:rFonts w:ascii="Candara" w:hAnsi="Candara" w:cs="LinLibertineO"/>
              </w:rPr>
              <w:t>Equilibrium</w:t>
            </w:r>
            <w:r w:rsidRPr="00D34854">
              <w:rPr>
                <w:rFonts w:ascii="Candara" w:hAnsi="Candara" w:cs="LinLibertineO"/>
              </w:rPr>
              <w:t xml:space="preserve">, </w:t>
            </w:r>
            <w:r w:rsidR="0042304A">
              <w:rPr>
                <w:rFonts w:ascii="Candara" w:hAnsi="Candara" w:cs="LinLibertineO"/>
              </w:rPr>
              <w:t>change of state,</w:t>
            </w:r>
            <w:r w:rsidRPr="00D34854">
              <w:rPr>
                <w:rFonts w:ascii="Candara" w:hAnsi="Candara" w:cs="LinLibertineO"/>
              </w:rPr>
              <w:t xml:space="preserve"> process.</w:t>
            </w:r>
            <w:proofErr w:type="gramEnd"/>
            <w:r w:rsidRPr="00D34854">
              <w:rPr>
                <w:rFonts w:ascii="Candara" w:hAnsi="Candara" w:cs="LinLibertineO"/>
              </w:rPr>
              <w:t xml:space="preserve"> </w:t>
            </w:r>
            <w:proofErr w:type="gramStart"/>
            <w:r w:rsidRPr="00D34854">
              <w:rPr>
                <w:rFonts w:ascii="Candara" w:hAnsi="Candara" w:cs="LinLibertineO"/>
              </w:rPr>
              <w:t>The basic equation of state.</w:t>
            </w:r>
            <w:proofErr w:type="gramEnd"/>
            <w:r w:rsidRPr="00D34854">
              <w:rPr>
                <w:rFonts w:ascii="Candara" w:hAnsi="Candara" w:cs="LinLibertineO"/>
              </w:rPr>
              <w:t xml:space="preserve"> </w:t>
            </w:r>
            <w:proofErr w:type="gramStart"/>
            <w:r w:rsidRPr="00D34854">
              <w:rPr>
                <w:rFonts w:ascii="Candara" w:hAnsi="Candara" w:cs="LinLibertineO"/>
              </w:rPr>
              <w:t>The internal ener</w:t>
            </w:r>
            <w:r>
              <w:rPr>
                <w:rFonts w:ascii="Candara" w:hAnsi="Candara" w:cs="LinLibertineO"/>
              </w:rPr>
              <w:t>gy.</w:t>
            </w:r>
            <w:proofErr w:type="gramEnd"/>
            <w:r>
              <w:rPr>
                <w:rFonts w:ascii="Candara" w:hAnsi="Candara" w:cs="LinLibertineO"/>
              </w:rPr>
              <w:t xml:space="preserve"> </w:t>
            </w:r>
            <w:proofErr w:type="gramStart"/>
            <w:r>
              <w:rPr>
                <w:rFonts w:ascii="Candara" w:hAnsi="Candara" w:cs="LinLibertineO"/>
              </w:rPr>
              <w:t>Enthalpy.</w:t>
            </w:r>
            <w:proofErr w:type="gramEnd"/>
            <w:r>
              <w:rPr>
                <w:rFonts w:ascii="Candara" w:hAnsi="Candara" w:cs="LinLibertineO"/>
              </w:rPr>
              <w:t xml:space="preserve"> </w:t>
            </w:r>
            <w:proofErr w:type="gramStart"/>
            <w:r>
              <w:rPr>
                <w:rFonts w:ascii="Candara" w:hAnsi="Candara" w:cs="LinLibertineO"/>
              </w:rPr>
              <w:t>Thermal capacity</w:t>
            </w:r>
            <w:r w:rsidRPr="00D34854">
              <w:rPr>
                <w:rFonts w:ascii="Candara" w:hAnsi="Candara" w:cs="LinLibertineO"/>
              </w:rPr>
              <w:t>.</w:t>
            </w:r>
            <w:proofErr w:type="gramEnd"/>
            <w:r w:rsidRPr="00D34854">
              <w:rPr>
                <w:rFonts w:ascii="Candara" w:hAnsi="Candara" w:cs="LinLibertineO"/>
              </w:rPr>
              <w:t xml:space="preserve"> </w:t>
            </w:r>
            <w:proofErr w:type="gramStart"/>
            <w:r w:rsidRPr="00D34854">
              <w:rPr>
                <w:rFonts w:ascii="Candara" w:hAnsi="Candara" w:cs="LinLibertineO"/>
              </w:rPr>
              <w:t>Heat.</w:t>
            </w:r>
            <w:proofErr w:type="gramEnd"/>
            <w:r w:rsidRPr="00D34854">
              <w:rPr>
                <w:rFonts w:ascii="Candara" w:hAnsi="Candara" w:cs="LinLibertineO"/>
              </w:rPr>
              <w:t xml:space="preserve"> </w:t>
            </w:r>
            <w:proofErr w:type="gramStart"/>
            <w:r w:rsidRPr="00D34854">
              <w:rPr>
                <w:rFonts w:ascii="Candara" w:hAnsi="Candara" w:cs="LinLibertineO"/>
              </w:rPr>
              <w:t>Work.</w:t>
            </w:r>
            <w:proofErr w:type="gramEnd"/>
            <w:r w:rsidRPr="00D34854">
              <w:rPr>
                <w:rFonts w:ascii="Candara" w:hAnsi="Candara" w:cs="LinLibertineO"/>
              </w:rPr>
              <w:t xml:space="preserve"> </w:t>
            </w:r>
            <w:proofErr w:type="gramStart"/>
            <w:r w:rsidRPr="00D34854">
              <w:rPr>
                <w:rFonts w:ascii="Candara" w:hAnsi="Candara" w:cs="LinLibertineO"/>
              </w:rPr>
              <w:t>The first law of thermodynamics for closed and open thermodynamic system</w:t>
            </w:r>
            <w:r>
              <w:rPr>
                <w:rFonts w:ascii="Candara" w:hAnsi="Candara" w:cs="LinLibertineO"/>
              </w:rPr>
              <w:t>s</w:t>
            </w:r>
            <w:r w:rsidRPr="00D34854">
              <w:rPr>
                <w:rFonts w:ascii="Candara" w:hAnsi="Candara" w:cs="LinLibertineO"/>
              </w:rPr>
              <w:t>.</w:t>
            </w:r>
            <w:proofErr w:type="gramEnd"/>
            <w:r w:rsidRPr="00D34854">
              <w:rPr>
                <w:rFonts w:ascii="Candara" w:hAnsi="Candara" w:cs="LinLibertineO"/>
              </w:rPr>
              <w:t xml:space="preserve"> </w:t>
            </w:r>
            <w:proofErr w:type="gramStart"/>
            <w:r w:rsidRPr="00D34854">
              <w:rPr>
                <w:rFonts w:ascii="Candara" w:hAnsi="Candara" w:cs="LinLibertineO"/>
              </w:rPr>
              <w:t>The second principle of thermodynamics.</w:t>
            </w:r>
            <w:proofErr w:type="gramEnd"/>
            <w:r w:rsidRPr="00D34854">
              <w:rPr>
                <w:rFonts w:ascii="Candara" w:hAnsi="Candara" w:cs="LinLibertineO"/>
              </w:rPr>
              <w:t xml:space="preserve"> </w:t>
            </w:r>
            <w:proofErr w:type="gramStart"/>
            <w:r w:rsidRPr="00D34854">
              <w:rPr>
                <w:rFonts w:ascii="Candara" w:hAnsi="Candara" w:cs="LinLibertineO"/>
              </w:rPr>
              <w:t>Entropy.</w:t>
            </w:r>
            <w:proofErr w:type="gramEnd"/>
            <w:r w:rsidRPr="00D34854">
              <w:rPr>
                <w:rFonts w:ascii="Candara" w:hAnsi="Candara" w:cs="LinLibertineO"/>
              </w:rPr>
              <w:t xml:space="preserve"> Heat diagram</w:t>
            </w:r>
            <w:r w:rsidR="00C25C2A" w:rsidRPr="00675E14">
              <w:rPr>
                <w:lang w:val="sr-Cyrl-CS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6312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6312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232920"/>
              </w:sdtPr>
              <w:sdtContent>
                <w:sdt>
                  <w:sdtPr>
                    <w:rPr>
                      <w:rFonts w:ascii="Candara" w:hAnsi="Candara"/>
                    </w:rPr>
                    <w:id w:val="595998"/>
                  </w:sdtPr>
                  <w:sdtContent>
                    <w:r w:rsidR="00A53BC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6312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6312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7728054"/>
                  </w:sdtPr>
                  <w:sdtContent>
                    <w:r w:rsidR="00C43CB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6312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833421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833421" w:rsidRDefault="00833421" w:rsidP="004C4BE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33421" w:rsidRPr="00833421" w:rsidRDefault="00C25C2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833421" w:rsidRPr="00833421" w:rsidRDefault="00C25C2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0* (90)</w:t>
            </w:r>
          </w:p>
        </w:tc>
      </w:tr>
      <w:tr w:rsidR="00833421" w:rsidRPr="00B54668" w:rsidTr="00833421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833421" w:rsidRDefault="00833421" w:rsidP="004C4BE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33421" w:rsidRPr="00833421" w:rsidRDefault="00C25C2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833421" w:rsidRPr="00833421" w:rsidRDefault="00C25C2A" w:rsidP="001D4BAF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833421" w:rsidRPr="00B54668" w:rsidTr="00833421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833421" w:rsidRDefault="00C25C2A" w:rsidP="004C4BE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Four midterm exams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33421" w:rsidRPr="00833421" w:rsidRDefault="00C25C2A" w:rsidP="008B03E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C25C2A">
              <w:t xml:space="preserve"> </w:t>
            </w:r>
            <w:r w:rsidR="00C25C2A" w:rsidRPr="0070379E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Pr="00833421" w:rsidRDefault="001F14FA" w:rsidP="00833421"/>
    <w:p w:rsidR="00CB1A60" w:rsidRPr="00833421" w:rsidRDefault="00CB1A60" w:rsidP="00833421"/>
    <w:sectPr w:rsidR="00CB1A60" w:rsidRPr="00833421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D8" w:rsidRDefault="007B70D8" w:rsidP="00864926">
      <w:pPr>
        <w:spacing w:after="0" w:line="240" w:lineRule="auto"/>
      </w:pPr>
      <w:r>
        <w:separator/>
      </w:r>
    </w:p>
  </w:endnote>
  <w:endnote w:type="continuationSeparator" w:id="0">
    <w:p w:rsidR="007B70D8" w:rsidRDefault="007B70D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nLibertine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D8" w:rsidRDefault="007B70D8" w:rsidP="00864926">
      <w:pPr>
        <w:spacing w:after="0" w:line="240" w:lineRule="auto"/>
      </w:pPr>
      <w:r>
        <w:separator/>
      </w:r>
    </w:p>
  </w:footnote>
  <w:footnote w:type="continuationSeparator" w:id="0">
    <w:p w:rsidR="007B70D8" w:rsidRDefault="007B70D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6E35F26"/>
    <w:multiLevelType w:val="hybridMultilevel"/>
    <w:tmpl w:val="826E1D6E"/>
    <w:lvl w:ilvl="0" w:tplc="8458C64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BC53318"/>
    <w:multiLevelType w:val="hybridMultilevel"/>
    <w:tmpl w:val="C30EA332"/>
    <w:lvl w:ilvl="0" w:tplc="8F6210D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97299"/>
    <w:multiLevelType w:val="hybridMultilevel"/>
    <w:tmpl w:val="C2CA4868"/>
    <w:lvl w:ilvl="0" w:tplc="2CDE8948">
      <w:start w:val="1"/>
      <w:numFmt w:val="bullet"/>
      <w:pStyle w:val="nabrajanj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86725"/>
    <w:multiLevelType w:val="hybridMultilevel"/>
    <w:tmpl w:val="B61CC9D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112B"/>
    <w:rsid w:val="00033AAA"/>
    <w:rsid w:val="000460D0"/>
    <w:rsid w:val="00090B78"/>
    <w:rsid w:val="00096B14"/>
    <w:rsid w:val="000E4AF2"/>
    <w:rsid w:val="000E6798"/>
    <w:rsid w:val="000F0127"/>
    <w:rsid w:val="000F6001"/>
    <w:rsid w:val="000F7CD3"/>
    <w:rsid w:val="00100E79"/>
    <w:rsid w:val="001C3404"/>
    <w:rsid w:val="001D3BF1"/>
    <w:rsid w:val="001D4BAF"/>
    <w:rsid w:val="001D640E"/>
    <w:rsid w:val="001D64D3"/>
    <w:rsid w:val="001F14FA"/>
    <w:rsid w:val="001F60E3"/>
    <w:rsid w:val="002319B6"/>
    <w:rsid w:val="00245E10"/>
    <w:rsid w:val="002A0557"/>
    <w:rsid w:val="002B5A71"/>
    <w:rsid w:val="00302E83"/>
    <w:rsid w:val="00315601"/>
    <w:rsid w:val="00323176"/>
    <w:rsid w:val="00324B35"/>
    <w:rsid w:val="00332133"/>
    <w:rsid w:val="0039207E"/>
    <w:rsid w:val="003B32A9"/>
    <w:rsid w:val="003C177A"/>
    <w:rsid w:val="003D0FAB"/>
    <w:rsid w:val="003E3744"/>
    <w:rsid w:val="004017CF"/>
    <w:rsid w:val="00406F80"/>
    <w:rsid w:val="0042304A"/>
    <w:rsid w:val="00431EFA"/>
    <w:rsid w:val="00433BB4"/>
    <w:rsid w:val="0047431F"/>
    <w:rsid w:val="00493925"/>
    <w:rsid w:val="004B001F"/>
    <w:rsid w:val="004D1C7E"/>
    <w:rsid w:val="004E562D"/>
    <w:rsid w:val="004F3573"/>
    <w:rsid w:val="0050692F"/>
    <w:rsid w:val="005171F4"/>
    <w:rsid w:val="005410BF"/>
    <w:rsid w:val="005671B3"/>
    <w:rsid w:val="00590B22"/>
    <w:rsid w:val="005A5D38"/>
    <w:rsid w:val="005B0885"/>
    <w:rsid w:val="005B64BF"/>
    <w:rsid w:val="005C6548"/>
    <w:rsid w:val="005C7DC4"/>
    <w:rsid w:val="005D46D7"/>
    <w:rsid w:val="005D532F"/>
    <w:rsid w:val="00603117"/>
    <w:rsid w:val="00630325"/>
    <w:rsid w:val="0063794A"/>
    <w:rsid w:val="006536A9"/>
    <w:rsid w:val="0069043C"/>
    <w:rsid w:val="006A0733"/>
    <w:rsid w:val="006E40AE"/>
    <w:rsid w:val="006F647C"/>
    <w:rsid w:val="0074242D"/>
    <w:rsid w:val="00783C57"/>
    <w:rsid w:val="00792CB4"/>
    <w:rsid w:val="00793602"/>
    <w:rsid w:val="007A5C19"/>
    <w:rsid w:val="007B1F37"/>
    <w:rsid w:val="007B2C4E"/>
    <w:rsid w:val="007B70D8"/>
    <w:rsid w:val="007F78BE"/>
    <w:rsid w:val="0083177E"/>
    <w:rsid w:val="00833421"/>
    <w:rsid w:val="00851051"/>
    <w:rsid w:val="00860979"/>
    <w:rsid w:val="00864926"/>
    <w:rsid w:val="008A073F"/>
    <w:rsid w:val="008A30CE"/>
    <w:rsid w:val="008A5276"/>
    <w:rsid w:val="008B03E7"/>
    <w:rsid w:val="008B1D6B"/>
    <w:rsid w:val="008B21D6"/>
    <w:rsid w:val="008C31B7"/>
    <w:rsid w:val="008D39C3"/>
    <w:rsid w:val="008D6615"/>
    <w:rsid w:val="00911529"/>
    <w:rsid w:val="00932B21"/>
    <w:rsid w:val="00971E55"/>
    <w:rsid w:val="00972302"/>
    <w:rsid w:val="0098008A"/>
    <w:rsid w:val="009906EA"/>
    <w:rsid w:val="0099415E"/>
    <w:rsid w:val="0099779A"/>
    <w:rsid w:val="009C4219"/>
    <w:rsid w:val="009D3F5E"/>
    <w:rsid w:val="009F3F9F"/>
    <w:rsid w:val="00A10286"/>
    <w:rsid w:val="00A1335D"/>
    <w:rsid w:val="00A53BC4"/>
    <w:rsid w:val="00A6501B"/>
    <w:rsid w:val="00AE77BE"/>
    <w:rsid w:val="00AF47A6"/>
    <w:rsid w:val="00B2692B"/>
    <w:rsid w:val="00B345E3"/>
    <w:rsid w:val="00B50491"/>
    <w:rsid w:val="00B54668"/>
    <w:rsid w:val="00B87A97"/>
    <w:rsid w:val="00B9521A"/>
    <w:rsid w:val="00BA6985"/>
    <w:rsid w:val="00BB7590"/>
    <w:rsid w:val="00BD3504"/>
    <w:rsid w:val="00C25C2A"/>
    <w:rsid w:val="00C43CBD"/>
    <w:rsid w:val="00C63234"/>
    <w:rsid w:val="00C63851"/>
    <w:rsid w:val="00CA6D81"/>
    <w:rsid w:val="00CB1A60"/>
    <w:rsid w:val="00CB39D0"/>
    <w:rsid w:val="00CC23C3"/>
    <w:rsid w:val="00CC4E93"/>
    <w:rsid w:val="00CD17F1"/>
    <w:rsid w:val="00CE4F90"/>
    <w:rsid w:val="00CE60AF"/>
    <w:rsid w:val="00CE6E53"/>
    <w:rsid w:val="00D34854"/>
    <w:rsid w:val="00D406D2"/>
    <w:rsid w:val="00D4378D"/>
    <w:rsid w:val="00D92498"/>
    <w:rsid w:val="00D92F39"/>
    <w:rsid w:val="00DB43CC"/>
    <w:rsid w:val="00DB43E0"/>
    <w:rsid w:val="00E0704D"/>
    <w:rsid w:val="00E1222F"/>
    <w:rsid w:val="00E17FC5"/>
    <w:rsid w:val="00E23646"/>
    <w:rsid w:val="00E47B95"/>
    <w:rsid w:val="00E5013A"/>
    <w:rsid w:val="00E60599"/>
    <w:rsid w:val="00E6312F"/>
    <w:rsid w:val="00E71A0B"/>
    <w:rsid w:val="00E76D77"/>
    <w:rsid w:val="00E8188A"/>
    <w:rsid w:val="00E857F8"/>
    <w:rsid w:val="00EA7E0C"/>
    <w:rsid w:val="00EB2F47"/>
    <w:rsid w:val="00EC53EE"/>
    <w:rsid w:val="00EE3D5A"/>
    <w:rsid w:val="00F06AFA"/>
    <w:rsid w:val="00F237EB"/>
    <w:rsid w:val="00F56373"/>
    <w:rsid w:val="00F5654A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50692F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0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73F"/>
    <w:pPr>
      <w:ind w:left="720"/>
      <w:contextualSpacing/>
    </w:pPr>
  </w:style>
  <w:style w:type="paragraph" w:customStyle="1" w:styleId="nabrajanje">
    <w:name w:val="nabrajanje"/>
    <w:basedOn w:val="Normal"/>
    <w:rsid w:val="00CE6E53"/>
    <w:pPr>
      <w:widowControl w:val="0"/>
      <w:numPr>
        <w:numId w:val="4"/>
      </w:numPr>
      <w:suppressAutoHyphens w:val="0"/>
      <w:autoSpaceDE w:val="0"/>
      <w:autoSpaceDN w:val="0"/>
      <w:adjustRightInd w:val="0"/>
      <w:spacing w:before="20" w:after="20" w:line="240" w:lineRule="auto"/>
    </w:pPr>
    <w:rPr>
      <w:rFonts w:ascii="Times New Roman" w:hAnsi="Times New Roman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5069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horttext">
    <w:name w:val="short_text"/>
    <w:basedOn w:val="DefaultParagraphFont"/>
    <w:rsid w:val="00C25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58CE4-DD52-4D6D-A3CF-EAFC3507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zivojin</cp:lastModifiedBy>
  <cp:revision>4</cp:revision>
  <cp:lastPrinted>2015-12-23T11:47:00Z</cp:lastPrinted>
  <dcterms:created xsi:type="dcterms:W3CDTF">2016-04-24T18:08:00Z</dcterms:created>
  <dcterms:modified xsi:type="dcterms:W3CDTF">2016-04-25T12:01:00Z</dcterms:modified>
</cp:coreProperties>
</file>