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81"/>
        <w:gridCol w:w="452"/>
        <w:gridCol w:w="126"/>
        <w:gridCol w:w="534"/>
        <w:gridCol w:w="322"/>
        <w:gridCol w:w="781"/>
        <w:gridCol w:w="636"/>
        <w:gridCol w:w="737"/>
        <w:gridCol w:w="255"/>
        <w:gridCol w:w="297"/>
        <w:gridCol w:w="3342"/>
      </w:tblGrid>
      <w:tr w:rsidR="00CD17F1" w:rsidRPr="00B54668" w:rsidTr="000340CF">
        <w:trPr>
          <w:cantSplit/>
          <w:trHeight w:val="982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340CF">
        <w:trPr>
          <w:cantSplit/>
          <w:trHeight w:val="754"/>
        </w:trPr>
        <w:tc>
          <w:tcPr>
            <w:tcW w:w="195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340CF">
        <w:trPr>
          <w:cantSplit/>
          <w:trHeight w:val="529"/>
        </w:trPr>
        <w:tc>
          <w:tcPr>
            <w:tcW w:w="5000" w:type="pct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5" w:type="pct"/>
            <w:gridSpan w:val="10"/>
            <w:shd w:val="clear" w:color="auto" w:fill="auto"/>
            <w:vAlign w:val="center"/>
          </w:tcPr>
          <w:p w:rsidR="00864926" w:rsidRPr="00B54668" w:rsidRDefault="001A6931" w:rsidP="00915AD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A6931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Traffic engineering, </w:t>
            </w:r>
            <w:r w:rsidR="00915AD6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</w:t>
            </w:r>
            <w:r w:rsidRPr="001A6931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ransport and Logistics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5" w:type="pct"/>
            <w:gridSpan w:val="10"/>
            <w:vAlign w:val="center"/>
          </w:tcPr>
          <w:p w:rsidR="00864926" w:rsidRPr="00EF5F45" w:rsidRDefault="00EF5F45" w:rsidP="001A693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</w:t>
            </w:r>
          </w:p>
        </w:tc>
      </w:tr>
      <w:tr w:rsidR="00B5049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5" w:type="pct"/>
            <w:gridSpan w:val="10"/>
            <w:vAlign w:val="center"/>
          </w:tcPr>
          <w:p w:rsidR="00B50491" w:rsidRPr="00915AD6" w:rsidRDefault="00915AD6" w:rsidP="00E359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bCs/>
                <w:color w:val="000000" w:themeColor="text1"/>
                <w:lang w:eastAsia="sr-Latn-CS"/>
              </w:rPr>
              <w:t>M</w:t>
            </w:r>
            <w:r w:rsidRPr="00915AD6">
              <w:rPr>
                <w:rFonts w:ascii="Candara" w:hAnsi="Candara"/>
                <w:bCs/>
                <w:color w:val="000000" w:themeColor="text1"/>
                <w:lang w:eastAsia="sr-Latn-CS"/>
              </w:rPr>
              <w:t>aster work</w:t>
            </w:r>
          </w:p>
        </w:tc>
      </w:tr>
      <w:tr w:rsidR="003E3744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B2692B" w:rsidRPr="00B54668" w:rsidRDefault="009D74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8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0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9D74C5" w:rsidP="00EF5F4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/>
                    </w:rPr>
                    <w:id w:val="292656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9D74C5" w:rsidP="00483A8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858101"/>
                  </w:sdtPr>
                  <w:sdtContent>
                    <w:r w:rsidR="00EF5F4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9D74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359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9D74C5" w:rsidP="00E359B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020055"/>
                  </w:sdtPr>
                  <w:sdtContent>
                    <w:r w:rsidR="00E359B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340CF">
        <w:trPr>
          <w:cantSplit/>
          <w:trHeight w:val="562"/>
        </w:trPr>
        <w:tc>
          <w:tcPr>
            <w:tcW w:w="1425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5"/>
            <w:tcBorders>
              <w:right w:val="nil"/>
            </w:tcBorders>
            <w:vAlign w:val="center"/>
          </w:tcPr>
          <w:p w:rsidR="00590B22" w:rsidRPr="00B54668" w:rsidRDefault="009D74C5" w:rsidP="00E359B6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28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020047"/>
                          </w:sdtPr>
                          <w:sdtContent>
                            <w:r w:rsidR="00E359B6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center"/>
          </w:tcPr>
          <w:p w:rsidR="00590B22" w:rsidRPr="00B54668" w:rsidRDefault="009D74C5" w:rsidP="00FF7F3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92645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1020039"/>
                          </w:sdtPr>
                          <w:sdtContent>
                            <w:r w:rsidR="00E359B6" w:rsidRPr="00E359B6">
                              <w:rPr>
                                <w:rFonts w:ascii="MS Gothic" w:eastAsia="MS Gothic" w:hAnsi="MS Gothic" w:cs="Arial" w:hint="eastAsia"/>
                                <w:color w:val="000000" w:themeColor="text1"/>
                                <w:lang w:val="en-US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r w:rsidR="00483A8A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864926" w:rsidRPr="006A7D43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I</w:t>
            </w:r>
            <w:r w:rsidR="00E359B6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A1335D" w:rsidRPr="00B54668" w:rsidRDefault="00E359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12 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1425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5" w:type="pct"/>
            <w:gridSpan w:val="10"/>
            <w:tcBorders>
              <w:bottom w:val="single" w:sz="4" w:space="0" w:color="auto"/>
            </w:tcBorders>
            <w:vAlign w:val="center"/>
          </w:tcPr>
          <w:p w:rsidR="00E857F8" w:rsidRPr="00E359B6" w:rsidRDefault="00E359B6" w:rsidP="00B5477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M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iomir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Lj. J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ovanović</w:t>
            </w:r>
            <w:r>
              <w:rPr>
                <w:rFonts w:ascii="Candara" w:hAnsi="Candara"/>
                <w:bCs/>
                <w:color w:val="000000" w:themeColor="text1"/>
                <w:lang w:eastAsia="sr-Latn-CS"/>
              </w:rPr>
              <w:t>,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D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ragoslav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J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anošević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>, G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oran</w:t>
            </w:r>
            <w:r w:rsidRPr="00E359B6">
              <w:rPr>
                <w:rFonts w:ascii="Candara" w:hAnsi="Candara"/>
                <w:bCs/>
                <w:caps/>
                <w:color w:val="000000" w:themeColor="text1"/>
                <w:lang w:eastAsia="sr-Latn-CS"/>
              </w:rPr>
              <w:t xml:space="preserve"> S.P</w:t>
            </w:r>
            <w:r w:rsidRPr="00E359B6">
              <w:rPr>
                <w:rFonts w:ascii="Candara" w:hAnsi="Candara"/>
                <w:bCs/>
                <w:color w:val="000000" w:themeColor="text1"/>
                <w:lang w:eastAsia="sr-Latn-CS"/>
              </w:rPr>
              <w:t>etrović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5"/>
            <w:tcBorders>
              <w:bottom w:val="nil"/>
              <w:right w:val="nil"/>
            </w:tcBorders>
            <w:vAlign w:val="center"/>
          </w:tcPr>
          <w:p w:rsidR="00B2692B" w:rsidRDefault="009D74C5" w:rsidP="00983612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020059"/>
                  </w:sdtPr>
                  <w:sdtContent>
                    <w:r w:rsidR="0098361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9D74C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9D74C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/>
                    </w:rPr>
                    <w:id w:val="17688579"/>
                  </w:sdtPr>
                  <w:sdtContent>
                    <w:r w:rsidR="001A693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2692B" w:rsidRDefault="009D74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9D74C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9D74C5" w:rsidP="009836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9263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20063"/>
                      </w:sdtPr>
                      <w:sdtContent>
                        <w:r w:rsidR="00983612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  <w:r w:rsidR="002A2C88">
              <w:rPr>
                <w:rFonts w:ascii="Candara" w:hAnsi="Candara"/>
              </w:rPr>
              <w:t xml:space="preserve"> </w:t>
            </w:r>
            <w:r w:rsidR="00983612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340CF">
        <w:trPr>
          <w:cantSplit/>
          <w:trHeight w:val="340"/>
        </w:trPr>
        <w:tc>
          <w:tcPr>
            <w:tcW w:w="1425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9D74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9D74C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9D74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sdt>
                  <w:sdtPr>
                    <w:rPr>
                      <w:rFonts w:ascii="Candara" w:hAnsi="Candara"/>
                    </w:rPr>
                    <w:id w:val="1020065"/>
                  </w:sdtPr>
                  <w:sdtContent>
                    <w:r w:rsidR="0098361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6C64CD" w:rsidRPr="006C64CD" w:rsidRDefault="006C64CD" w:rsidP="006C64CD">
            <w:pPr>
              <w:pStyle w:val="HTMLPreformatted"/>
              <w:shd w:val="clear" w:color="auto" w:fill="FFFFFF"/>
              <w:rPr>
                <w:rFonts w:ascii="Candara" w:hAnsi="Candara" w:cs="Times New Roman"/>
                <w:color w:val="000000" w:themeColor="text1"/>
                <w:lang w:val="en-GB"/>
              </w:rPr>
            </w:pP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Application of acquired scientific </w:t>
            </w:r>
            <w:r w:rsidR="004C265F">
              <w:rPr>
                <w:rFonts w:ascii="Candara" w:hAnsi="Candara" w:cs="Times New Roman"/>
                <w:color w:val="000000" w:themeColor="text1"/>
              </w:rPr>
              <w:t>-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technical and professional</w:t>
            </w:r>
            <w:r w:rsidR="004C265F">
              <w:rPr>
                <w:rFonts w:ascii="Candara" w:hAnsi="Candara" w:cs="Times New Roman"/>
                <w:color w:val="000000" w:themeColor="text1"/>
              </w:rPr>
              <w:t xml:space="preserve"> -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application of knowledge to the study program</w:t>
            </w:r>
            <w:r w:rsidR="004C265F">
              <w:rPr>
                <w:rFonts w:ascii="Candara" w:hAnsi="Candara" w:cs="Times New Roman"/>
                <w:color w:val="000000" w:themeColor="text1"/>
              </w:rPr>
              <w:t>: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Traffic engineer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ing, transport and logistics. </w:t>
            </w:r>
            <w:r w:rsidR="004C265F" w:rsidRPr="004C265F">
              <w:rPr>
                <w:rFonts w:ascii="Candara" w:hAnsi="Candara" w:cs="Times New Roman"/>
                <w:color w:val="000000" w:themeColor="text1"/>
                <w:lang w:val="en-GB"/>
              </w:rPr>
              <w:t>Independently solv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>ing of</w:t>
            </w:r>
            <w:r w:rsidR="004C265F" w:rsidRP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 complex practical problems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>,</w:t>
            </w:r>
            <w:r w:rsidR="004C265F" w:rsidRP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 using scientific methods and procedures, modern information and communication technologies and scientific and technical literature.</w:t>
            </w:r>
          </w:p>
          <w:p w:rsidR="00B27A58" w:rsidRPr="00983612" w:rsidRDefault="006C64CD" w:rsidP="00FA0CFE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</w:rPr>
            </w:pP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Expected outcomes: Development of critical and self-critical thinking and approach, the ability 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>of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connect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>ion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and apply the acquired knowledge and skills, prepare students to engage in scientific research, </w:t>
            </w:r>
            <w:r w:rsidR="004C265F">
              <w:rPr>
                <w:rFonts w:ascii="Candara" w:hAnsi="Candara" w:cs="Times New Roman"/>
                <w:color w:val="000000" w:themeColor="text1"/>
                <w:lang w:val="en-GB"/>
              </w:rPr>
              <w:t xml:space="preserve">with 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 xml:space="preserve"> ability to express Acquisition and transfer of research results to the public. Training students to continue their education.</w:t>
            </w:r>
          </w:p>
        </w:tc>
      </w:tr>
      <w:tr w:rsidR="00E857F8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2E4C72" w:rsidRPr="00B54668" w:rsidTr="000340CF">
        <w:trPr>
          <w:cantSplit/>
          <w:trHeight w:val="562"/>
        </w:trPr>
        <w:tc>
          <w:tcPr>
            <w:tcW w:w="5000" w:type="pct"/>
            <w:gridSpan w:val="11"/>
            <w:vAlign w:val="center"/>
          </w:tcPr>
          <w:p w:rsidR="007E4494" w:rsidRPr="00983612" w:rsidRDefault="006C64CD" w:rsidP="006C64CD">
            <w:pPr>
              <w:pStyle w:val="HTMLPreformatted"/>
              <w:shd w:val="clear" w:color="auto" w:fill="FFFFFF"/>
              <w:rPr>
                <w:rFonts w:ascii="inherit" w:hAnsi="inherit"/>
                <w:color w:val="FF0000"/>
              </w:rPr>
            </w:pP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Teaching basis consists of all educational courses to study a particular professional</w:t>
            </w:r>
            <w:r>
              <w:rPr>
                <w:rFonts w:ascii="Candara" w:hAnsi="Candara" w:cs="Times New Roman"/>
                <w:color w:val="000000" w:themeColor="text1"/>
              </w:rPr>
              <w:t>-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application</w:t>
            </w:r>
            <w:r>
              <w:rPr>
                <w:rFonts w:ascii="Candara" w:hAnsi="Candara" w:cs="Times New Roman"/>
                <w:color w:val="000000" w:themeColor="text1"/>
              </w:rPr>
              <w:t xml:space="preserve"> subjects</w:t>
            </w:r>
            <w:r w:rsidRPr="006C64CD">
              <w:rPr>
                <w:rFonts w:ascii="Candara" w:hAnsi="Candara" w:cs="Times New Roman"/>
                <w:color w:val="000000" w:themeColor="text1"/>
                <w:lang w:val="en-GB"/>
              </w:rPr>
              <w:t>.</w:t>
            </w:r>
          </w:p>
        </w:tc>
      </w:tr>
      <w:tr w:rsidR="001D3BF1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8519C5">
        <w:trPr>
          <w:cantSplit/>
          <w:trHeight w:val="503"/>
        </w:trPr>
        <w:tc>
          <w:tcPr>
            <w:tcW w:w="164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D74C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7688580"/>
                  </w:sdtPr>
                  <w:sdtContent>
                    <w:r w:rsidR="001A693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8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9D74C5" w:rsidP="004E4F2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92660"/>
                  </w:sdtPr>
                  <w:sdtContent>
                    <w:r w:rsidR="004E4F2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</w:t>
            </w:r>
            <w:r w:rsidR="004E4F23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62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9D74C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340CF">
        <w:trPr>
          <w:cantSplit/>
          <w:trHeight w:val="502"/>
        </w:trPr>
        <w:tc>
          <w:tcPr>
            <w:tcW w:w="1641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9D74C5" w:rsidP="000920B6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858105"/>
                  </w:sdtPr>
                  <w:sdtContent>
                    <w:r w:rsidR="004E4F23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  <w:r w:rsidR="004E4F23">
                      <w:rPr>
                        <w:rFonts w:ascii="MS Gothic" w:eastAsia="MS Gothic" w:hAnsi="MS Gothic"/>
                      </w:rPr>
                      <w:t xml:space="preserve"> 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59" w:type="pct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9D74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4E4F23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340CF">
        <w:trPr>
          <w:cantSplit/>
          <w:trHeight w:val="562"/>
        </w:trPr>
        <w:tc>
          <w:tcPr>
            <w:tcW w:w="5000" w:type="pct"/>
            <w:gridSpan w:val="11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82228" w:rsidRPr="00B54668" w:rsidTr="000340CF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782228" w:rsidRDefault="008519C5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Activities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782228" w:rsidRDefault="00782228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782228" w:rsidRDefault="00782228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782228" w:rsidRDefault="00782228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82228" w:rsidRPr="00B54668" w:rsidTr="000340CF">
        <w:trPr>
          <w:cantSplit/>
          <w:trHeight w:val="562"/>
        </w:trPr>
        <w:tc>
          <w:tcPr>
            <w:tcW w:w="1701" w:type="pct"/>
            <w:gridSpan w:val="3"/>
            <w:shd w:val="clear" w:color="auto" w:fill="auto"/>
            <w:vAlign w:val="center"/>
          </w:tcPr>
          <w:p w:rsidR="008519C5" w:rsidRDefault="008519C5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Work during the Consultations,</w:t>
            </w:r>
            <w:r w:rsidRPr="008519C5">
              <w:rPr>
                <w:rFonts w:ascii="Candara" w:hAnsi="Candara"/>
                <w:b/>
              </w:rPr>
              <w:t xml:space="preserve"> </w:t>
            </w:r>
          </w:p>
          <w:p w:rsidR="008519C5" w:rsidRDefault="008519C5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519C5">
              <w:rPr>
                <w:rFonts w:ascii="Candara" w:hAnsi="Candara"/>
                <w:b/>
              </w:rPr>
              <w:t>Written master work</w:t>
            </w:r>
            <w:r>
              <w:rPr>
                <w:rFonts w:ascii="Candara" w:hAnsi="Candara"/>
                <w:b/>
              </w:rPr>
              <w:t>,</w:t>
            </w:r>
          </w:p>
          <w:p w:rsidR="00782228" w:rsidRDefault="008519C5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8519C5">
              <w:rPr>
                <w:rFonts w:ascii="Candara" w:hAnsi="Candara"/>
                <w:b/>
              </w:rPr>
              <w:t>The oral public defense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782228" w:rsidRDefault="008519C5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782228" w:rsidRDefault="00782228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39" w:type="pct"/>
            <w:gridSpan w:val="2"/>
            <w:shd w:val="clear" w:color="auto" w:fill="auto"/>
            <w:vAlign w:val="center"/>
          </w:tcPr>
          <w:p w:rsidR="00782228" w:rsidRDefault="00782228" w:rsidP="007F5E75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1F14FA" w:rsidRDefault="001F14FA" w:rsidP="00C63851">
      <w:pPr>
        <w:ind w:left="1089"/>
      </w:pPr>
    </w:p>
    <w:p w:rsidR="009129B2" w:rsidRDefault="009129B2" w:rsidP="00C63851">
      <w:pPr>
        <w:ind w:left="1089"/>
      </w:pPr>
    </w:p>
    <w:sectPr w:rsidR="009129B2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1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22531"/>
    <w:rsid w:val="00022B3E"/>
    <w:rsid w:val="00033AAA"/>
    <w:rsid w:val="000340CF"/>
    <w:rsid w:val="000460D0"/>
    <w:rsid w:val="00055755"/>
    <w:rsid w:val="000834A0"/>
    <w:rsid w:val="00090B78"/>
    <w:rsid w:val="000920B6"/>
    <w:rsid w:val="000E4AF2"/>
    <w:rsid w:val="000F6001"/>
    <w:rsid w:val="000F7CD3"/>
    <w:rsid w:val="00100E79"/>
    <w:rsid w:val="00137209"/>
    <w:rsid w:val="00151CEB"/>
    <w:rsid w:val="001522C3"/>
    <w:rsid w:val="00192340"/>
    <w:rsid w:val="0019520E"/>
    <w:rsid w:val="001A6931"/>
    <w:rsid w:val="001D3BF1"/>
    <w:rsid w:val="001D5BCF"/>
    <w:rsid w:val="001D64D3"/>
    <w:rsid w:val="001E18BC"/>
    <w:rsid w:val="001F14FA"/>
    <w:rsid w:val="001F60E3"/>
    <w:rsid w:val="00226DCE"/>
    <w:rsid w:val="002319B6"/>
    <w:rsid w:val="002320AA"/>
    <w:rsid w:val="002373AC"/>
    <w:rsid w:val="00275978"/>
    <w:rsid w:val="00286BEF"/>
    <w:rsid w:val="002A2C88"/>
    <w:rsid w:val="002B5A71"/>
    <w:rsid w:val="002C6272"/>
    <w:rsid w:val="002D007D"/>
    <w:rsid w:val="002D1BF8"/>
    <w:rsid w:val="002D245C"/>
    <w:rsid w:val="002E4C72"/>
    <w:rsid w:val="00307A3A"/>
    <w:rsid w:val="00315601"/>
    <w:rsid w:val="00323176"/>
    <w:rsid w:val="00324B35"/>
    <w:rsid w:val="00387DA9"/>
    <w:rsid w:val="003B32A9"/>
    <w:rsid w:val="003C177A"/>
    <w:rsid w:val="003D0FAB"/>
    <w:rsid w:val="003E09CF"/>
    <w:rsid w:val="003E3744"/>
    <w:rsid w:val="00406F80"/>
    <w:rsid w:val="00411B0E"/>
    <w:rsid w:val="00423E5C"/>
    <w:rsid w:val="00431EFA"/>
    <w:rsid w:val="00436D0D"/>
    <w:rsid w:val="00446A19"/>
    <w:rsid w:val="00457648"/>
    <w:rsid w:val="004667F2"/>
    <w:rsid w:val="00483A8A"/>
    <w:rsid w:val="00490774"/>
    <w:rsid w:val="00493925"/>
    <w:rsid w:val="0049415E"/>
    <w:rsid w:val="004A11B3"/>
    <w:rsid w:val="004A6542"/>
    <w:rsid w:val="004B001F"/>
    <w:rsid w:val="004C265F"/>
    <w:rsid w:val="004D1C7E"/>
    <w:rsid w:val="004E4F23"/>
    <w:rsid w:val="004E562D"/>
    <w:rsid w:val="00506431"/>
    <w:rsid w:val="00530C07"/>
    <w:rsid w:val="00531BD0"/>
    <w:rsid w:val="005671B3"/>
    <w:rsid w:val="00590B22"/>
    <w:rsid w:val="005A5D38"/>
    <w:rsid w:val="005B0885"/>
    <w:rsid w:val="005B09F2"/>
    <w:rsid w:val="005B64BF"/>
    <w:rsid w:val="005C6548"/>
    <w:rsid w:val="005C7DC4"/>
    <w:rsid w:val="005D46D7"/>
    <w:rsid w:val="00603117"/>
    <w:rsid w:val="0069043C"/>
    <w:rsid w:val="00696116"/>
    <w:rsid w:val="006A0733"/>
    <w:rsid w:val="006A7D43"/>
    <w:rsid w:val="006B20D3"/>
    <w:rsid w:val="006C64CD"/>
    <w:rsid w:val="006E40AE"/>
    <w:rsid w:val="006F647C"/>
    <w:rsid w:val="00704586"/>
    <w:rsid w:val="00757AB7"/>
    <w:rsid w:val="00760F27"/>
    <w:rsid w:val="00782228"/>
    <w:rsid w:val="00783C57"/>
    <w:rsid w:val="00787493"/>
    <w:rsid w:val="00792CB4"/>
    <w:rsid w:val="007D7F41"/>
    <w:rsid w:val="007E4494"/>
    <w:rsid w:val="007F3922"/>
    <w:rsid w:val="00804B02"/>
    <w:rsid w:val="008353A9"/>
    <w:rsid w:val="008416D8"/>
    <w:rsid w:val="008519C5"/>
    <w:rsid w:val="00853A25"/>
    <w:rsid w:val="00860979"/>
    <w:rsid w:val="00864926"/>
    <w:rsid w:val="00880A59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F652D"/>
    <w:rsid w:val="00911529"/>
    <w:rsid w:val="009129B2"/>
    <w:rsid w:val="00915AD6"/>
    <w:rsid w:val="00932B21"/>
    <w:rsid w:val="0093593B"/>
    <w:rsid w:val="009623EA"/>
    <w:rsid w:val="00971E55"/>
    <w:rsid w:val="00972302"/>
    <w:rsid w:val="00983612"/>
    <w:rsid w:val="009906EA"/>
    <w:rsid w:val="009929E6"/>
    <w:rsid w:val="0099779A"/>
    <w:rsid w:val="009D3F5E"/>
    <w:rsid w:val="009D74C5"/>
    <w:rsid w:val="009E2BDD"/>
    <w:rsid w:val="009F3F9F"/>
    <w:rsid w:val="00A0701C"/>
    <w:rsid w:val="00A07239"/>
    <w:rsid w:val="00A10286"/>
    <w:rsid w:val="00A12087"/>
    <w:rsid w:val="00A1335D"/>
    <w:rsid w:val="00A61950"/>
    <w:rsid w:val="00A777C2"/>
    <w:rsid w:val="00AB0942"/>
    <w:rsid w:val="00AB2240"/>
    <w:rsid w:val="00AB67C6"/>
    <w:rsid w:val="00AD3E32"/>
    <w:rsid w:val="00AE77BE"/>
    <w:rsid w:val="00AF47A6"/>
    <w:rsid w:val="00B048D4"/>
    <w:rsid w:val="00B2692B"/>
    <w:rsid w:val="00B27A58"/>
    <w:rsid w:val="00B30C53"/>
    <w:rsid w:val="00B50491"/>
    <w:rsid w:val="00B54668"/>
    <w:rsid w:val="00B5477C"/>
    <w:rsid w:val="00B8646C"/>
    <w:rsid w:val="00B9521A"/>
    <w:rsid w:val="00B95E44"/>
    <w:rsid w:val="00BA272D"/>
    <w:rsid w:val="00BA6985"/>
    <w:rsid w:val="00BC6F66"/>
    <w:rsid w:val="00BD3504"/>
    <w:rsid w:val="00BD5AC3"/>
    <w:rsid w:val="00BE7F3B"/>
    <w:rsid w:val="00C25138"/>
    <w:rsid w:val="00C273E8"/>
    <w:rsid w:val="00C63234"/>
    <w:rsid w:val="00C63851"/>
    <w:rsid w:val="00C64A48"/>
    <w:rsid w:val="00C7760E"/>
    <w:rsid w:val="00CA6D81"/>
    <w:rsid w:val="00CC23C3"/>
    <w:rsid w:val="00CD17F1"/>
    <w:rsid w:val="00CE3C25"/>
    <w:rsid w:val="00CE60AF"/>
    <w:rsid w:val="00D07F7B"/>
    <w:rsid w:val="00D4378D"/>
    <w:rsid w:val="00D5380C"/>
    <w:rsid w:val="00D5492D"/>
    <w:rsid w:val="00D76D01"/>
    <w:rsid w:val="00D91B4D"/>
    <w:rsid w:val="00D92F39"/>
    <w:rsid w:val="00DA362D"/>
    <w:rsid w:val="00DB36EF"/>
    <w:rsid w:val="00DB43CC"/>
    <w:rsid w:val="00DB43E0"/>
    <w:rsid w:val="00DD5C81"/>
    <w:rsid w:val="00E076A0"/>
    <w:rsid w:val="00E1222F"/>
    <w:rsid w:val="00E17FC5"/>
    <w:rsid w:val="00E359B6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B5F86"/>
    <w:rsid w:val="00EC53EE"/>
    <w:rsid w:val="00EF5F45"/>
    <w:rsid w:val="00F024C4"/>
    <w:rsid w:val="00F06AFA"/>
    <w:rsid w:val="00F124F1"/>
    <w:rsid w:val="00F237EB"/>
    <w:rsid w:val="00F47F99"/>
    <w:rsid w:val="00F56373"/>
    <w:rsid w:val="00F742D3"/>
    <w:rsid w:val="00FA0CFE"/>
    <w:rsid w:val="00FA65C0"/>
    <w:rsid w:val="00FD474F"/>
    <w:rsid w:val="00FE207D"/>
    <w:rsid w:val="00FE66C2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C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4D89-1CE2-4C7A-A9E9-C65B80C5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GORAN</cp:lastModifiedBy>
  <cp:revision>9</cp:revision>
  <cp:lastPrinted>2015-12-23T11:47:00Z</cp:lastPrinted>
  <dcterms:created xsi:type="dcterms:W3CDTF">2016-04-06T08:21:00Z</dcterms:created>
  <dcterms:modified xsi:type="dcterms:W3CDTF">2016-04-14T21:59:00Z</dcterms:modified>
</cp:coreProperties>
</file>