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64F58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A64F58">
              <w:rPr>
                <w:rFonts w:ascii="Candara" w:hAnsi="Candara"/>
              </w:rPr>
              <w:t xml:space="preserve">Reliability </w:t>
            </w:r>
            <w:r w:rsidR="009A0A12">
              <w:rPr>
                <w:rFonts w:ascii="Candara" w:hAnsi="Candara"/>
              </w:rPr>
              <w:t>Engineering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6420A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6420A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6420A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6420A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6420A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6420A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6420A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F96D12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Milčić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E17FC5">
              <w:rPr>
                <w:rFonts w:ascii="Candara" w:hAnsi="Candara"/>
              </w:rPr>
              <w:t xml:space="preserve">Miroslav M. </w:t>
            </w:r>
            <w:proofErr w:type="spellStart"/>
            <w:r w:rsidR="00E17FC5"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6420A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6420A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6420A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6420A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6420A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6420A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6420A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6420A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6420A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9A0A12" w:rsidP="009A0A12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</w:t>
            </w:r>
            <w:r w:rsidRPr="009A0A12">
              <w:rPr>
                <w:rFonts w:ascii="Candara" w:hAnsi="Candara"/>
                <w:i/>
              </w:rPr>
              <w:t>tudents</w:t>
            </w:r>
            <w:r>
              <w:rPr>
                <w:rFonts w:ascii="Candara" w:hAnsi="Candara"/>
                <w:i/>
              </w:rPr>
              <w:t xml:space="preserve"> are capable</w:t>
            </w:r>
            <w:r w:rsidRPr="009A0A12">
              <w:rPr>
                <w:rFonts w:ascii="Candara" w:hAnsi="Candara"/>
                <w:i/>
              </w:rPr>
              <w:t xml:space="preserve"> to independently and based on scientific principles perform design in product development from the aspect of reliability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9A0A12" w:rsidP="009A0A12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9A0A12">
              <w:rPr>
                <w:rFonts w:ascii="Candara" w:hAnsi="Candara"/>
              </w:rPr>
              <w:t>Fault tree analysis (FTA)</w:t>
            </w:r>
            <w:r>
              <w:rPr>
                <w:rFonts w:ascii="Candara" w:hAnsi="Candara"/>
              </w:rPr>
              <w:t xml:space="preserve">, 2) </w:t>
            </w:r>
            <w:r w:rsidRPr="009A0A12">
              <w:rPr>
                <w:rFonts w:ascii="Candara" w:hAnsi="Candara"/>
              </w:rPr>
              <w:t>Failure Mode and Effects Analysis (FMEA)</w:t>
            </w:r>
            <w:r>
              <w:rPr>
                <w:rFonts w:ascii="Candara" w:hAnsi="Candara"/>
              </w:rPr>
              <w:t xml:space="preserve">, 3) </w:t>
            </w:r>
            <w:r w:rsidRPr="009A0A12">
              <w:rPr>
                <w:rFonts w:ascii="Candara" w:hAnsi="Candara"/>
              </w:rPr>
              <w:t>Testing of reliability of mechanical systems</w:t>
            </w:r>
            <w:r>
              <w:rPr>
                <w:rFonts w:ascii="Candara" w:hAnsi="Candara"/>
              </w:rPr>
              <w:t xml:space="preserve">, 4) </w:t>
            </w:r>
            <w:r w:rsidRPr="009A0A12">
              <w:rPr>
                <w:rFonts w:ascii="Candara" w:hAnsi="Candara"/>
              </w:rPr>
              <w:t>Reliability analysis</w:t>
            </w:r>
            <w:r>
              <w:rPr>
                <w:rFonts w:ascii="Candara" w:hAnsi="Candara"/>
              </w:rPr>
              <w:t xml:space="preserve">, 5) </w:t>
            </w:r>
            <w:r w:rsidRPr="009A0A12">
              <w:rPr>
                <w:rFonts w:ascii="Candara" w:hAnsi="Candara"/>
              </w:rPr>
              <w:t>System reliability</w:t>
            </w:r>
            <w:r>
              <w:rPr>
                <w:rFonts w:ascii="Candara" w:hAnsi="Candara"/>
              </w:rPr>
              <w:t xml:space="preserve">, 6) </w:t>
            </w:r>
            <w:r w:rsidRPr="009A0A12">
              <w:rPr>
                <w:rFonts w:ascii="Candara" w:hAnsi="Candara"/>
              </w:rPr>
              <w:t>Reliability allocation</w:t>
            </w:r>
            <w:r>
              <w:rPr>
                <w:rFonts w:ascii="Candara" w:hAnsi="Candara"/>
              </w:rPr>
              <w:t xml:space="preserve">, 7) </w:t>
            </w:r>
            <w:r w:rsidRPr="009A0A12">
              <w:rPr>
                <w:rFonts w:ascii="Candara" w:hAnsi="Candara"/>
              </w:rPr>
              <w:t>Reliability based design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420A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420A" w:rsidP="00A64F58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6420A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6420A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6420A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45" w:rsidRDefault="00071145" w:rsidP="00864926">
      <w:pPr>
        <w:spacing w:after="0" w:line="240" w:lineRule="auto"/>
      </w:pPr>
      <w:r>
        <w:separator/>
      </w:r>
    </w:p>
  </w:endnote>
  <w:endnote w:type="continuationSeparator" w:id="0">
    <w:p w:rsidR="00071145" w:rsidRDefault="000711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45" w:rsidRDefault="00071145" w:rsidP="00864926">
      <w:pPr>
        <w:spacing w:after="0" w:line="240" w:lineRule="auto"/>
      </w:pPr>
      <w:r>
        <w:separator/>
      </w:r>
    </w:p>
  </w:footnote>
  <w:footnote w:type="continuationSeparator" w:id="0">
    <w:p w:rsidR="00071145" w:rsidRDefault="000711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A06"/>
    <w:rsid w:val="00033AAA"/>
    <w:rsid w:val="000460D0"/>
    <w:rsid w:val="00071145"/>
    <w:rsid w:val="0008591A"/>
    <w:rsid w:val="00090B78"/>
    <w:rsid w:val="000D6BAB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83C57"/>
    <w:rsid w:val="00792CB4"/>
    <w:rsid w:val="00860979"/>
    <w:rsid w:val="00864926"/>
    <w:rsid w:val="008A30CE"/>
    <w:rsid w:val="008B1D6B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4F58"/>
    <w:rsid w:val="00A7446B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63234"/>
    <w:rsid w:val="00C63851"/>
    <w:rsid w:val="00C84815"/>
    <w:rsid w:val="00CA6D81"/>
    <w:rsid w:val="00CC23C3"/>
    <w:rsid w:val="00CD17F1"/>
    <w:rsid w:val="00CE60AF"/>
    <w:rsid w:val="00D14433"/>
    <w:rsid w:val="00D4378D"/>
    <w:rsid w:val="00D536E7"/>
    <w:rsid w:val="00D6420A"/>
    <w:rsid w:val="00D92F39"/>
    <w:rsid w:val="00DB43CC"/>
    <w:rsid w:val="00DB43E0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96D12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530D-5D08-4D7B-BB3D-3C964C2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Mijajlovic</cp:lastModifiedBy>
  <cp:revision>5</cp:revision>
  <cp:lastPrinted>2015-12-23T11:47:00Z</cp:lastPrinted>
  <dcterms:created xsi:type="dcterms:W3CDTF">2016-03-25T07:21:00Z</dcterms:created>
  <dcterms:modified xsi:type="dcterms:W3CDTF">2016-03-25T07:32:00Z</dcterms:modified>
</cp:coreProperties>
</file>