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04" w:rsidRPr="008D092F" w:rsidRDefault="00157804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48"/>
        <w:gridCol w:w="1250"/>
        <w:gridCol w:w="324"/>
        <w:gridCol w:w="261"/>
        <w:gridCol w:w="851"/>
        <w:gridCol w:w="2140"/>
        <w:gridCol w:w="3056"/>
        <w:gridCol w:w="10"/>
      </w:tblGrid>
      <w:tr w:rsidR="00157804" w:rsidRPr="008D092F">
        <w:trPr>
          <w:trHeight w:val="360"/>
        </w:trPr>
        <w:tc>
          <w:tcPr>
            <w:tcW w:w="104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D092F">
              <w:rPr>
                <w:rFonts w:ascii="Candara" w:hAnsi="Candara"/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92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D092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157804" w:rsidRPr="008D092F" w:rsidRDefault="00157804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157804" w:rsidRPr="008D092F">
        <w:trPr>
          <w:trHeight w:val="360"/>
        </w:trPr>
        <w:tc>
          <w:tcPr>
            <w:tcW w:w="3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7804" w:rsidRPr="008D092F" w:rsidRDefault="008D092F" w:rsidP="008D092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D092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7804" w:rsidRPr="008D092F" w:rsidRDefault="008D092F" w:rsidP="008D092F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8D092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7804" w:rsidRPr="008D092F" w:rsidRDefault="008D092F" w:rsidP="008D092F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157804" w:rsidRPr="008D092F">
        <w:trPr>
          <w:trHeight w:val="360"/>
        </w:trPr>
        <w:tc>
          <w:tcPr>
            <w:tcW w:w="1044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shd w:val="clear" w:color="auto" w:fill="auto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7" w:type="dxa"/>
            <w:gridSpan w:val="4"/>
            <w:shd w:val="clear" w:color="auto" w:fill="auto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D092F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D092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D092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7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Research Methods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7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Inequality and poverty measurement 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7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1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451982183"/>
                      </w:sdtPr>
                      <w:sdtEndPr/>
                      <w:sdtContent>
                        <w:r w:rsidRPr="008D092F">
                          <w:rPr>
                            <w:rFonts w:ascii="Candara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  <w:r w:rsidRPr="008D092F">
                      <w:rPr>
                        <w:rFonts w:ascii="Candara" w:hAnsi="Candara"/>
                        <w:lang w:val="en-US"/>
                      </w:rPr>
                      <w:t xml:space="preserve"> </w:t>
                    </w:r>
                  </w:sdtContent>
                </w:sdt>
                <w:r w:rsidRPr="008D092F">
                  <w:rPr>
                    <w:rFonts w:ascii="Candara" w:eastAsia="MS Gothic" w:hAnsi="Candara"/>
                    <w:lang w:val="en-US"/>
                  </w:rPr>
                  <w:t xml:space="preserve"> 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026700350"/>
                  </w:sdtPr>
                  <w:sdtEndPr/>
                  <w:sdtContent>
                    <w:r w:rsidRPr="008D092F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  <w:r w:rsidRPr="008D092F">
                  <w:rPr>
                    <w:rFonts w:ascii="Candara" w:eastAsia="MS Gothic" w:hAnsi="MS Gothic"/>
                    <w:lang w:val="en-US"/>
                  </w:rPr>
                  <w:t xml:space="preserve"> 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7" w:type="dxa"/>
            <w:gridSpan w:val="4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1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429321833"/>
                      </w:sdtPr>
                      <w:sdtEndPr/>
                      <w:sdtContent>
                        <w:r w:rsidRPr="008D092F">
                          <w:rPr>
                            <w:rFonts w:ascii="Candara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  <w:r w:rsidRPr="008D092F">
                      <w:rPr>
                        <w:rFonts w:ascii="Candara" w:hAnsi="Candara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8D092F">
                  <w:rPr>
                    <w:rFonts w:ascii="Candara" w:hAnsi="Candara"/>
                    <w:lang w:val="en-US"/>
                  </w:rPr>
                  <w:t xml:space="preserve"> </w:t>
                </w:r>
                <w:sdt>
                  <w:sdtPr>
                    <w:rPr>
                      <w:rFonts w:ascii="Candara" w:hAnsi="Candara"/>
                      <w:lang w:val="en-US"/>
                    </w:rPr>
                    <w:id w:val="1741204689"/>
                  </w:sdtPr>
                  <w:sdtEndPr/>
                  <w:sdtContent>
                    <w:r w:rsidRPr="008D092F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vAlign w:val="center"/>
          </w:tcPr>
          <w:p w:rsidR="00157804" w:rsidRPr="008D092F" w:rsidRDefault="008D092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7" w:type="dxa"/>
            <w:gridSpan w:val="4"/>
            <w:vAlign w:val="center"/>
          </w:tcPr>
          <w:p w:rsidR="00157804" w:rsidRPr="008D092F" w:rsidRDefault="008D092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086985323"/>
                  </w:sdtPr>
                  <w:sdtEndPr/>
                  <w:sdtContent>
                    <w:r w:rsidRPr="008D092F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  <w:r w:rsidRPr="008D092F">
                  <w:rPr>
                    <w:rFonts w:ascii="Candara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Pr="008D092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2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-1805461761"/>
                      </w:sdtPr>
                      <w:sdtEndPr/>
                      <w:sdtContent>
                        <w:r w:rsidRPr="008D092F">
                          <w:rPr>
                            <w:rFonts w:ascii="Candara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  <w:r w:rsidRPr="008D092F">
                      <w:rPr>
                        <w:rFonts w:ascii="Candara" w:hAnsi="Candara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Pr="008D092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7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I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7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5</w:t>
            </w:r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7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8D092F">
              <w:rPr>
                <w:rFonts w:ascii="Candara" w:hAnsi="Candara"/>
                <w:lang w:val="en-US"/>
              </w:rPr>
              <w:t>Gorana</w:t>
            </w:r>
            <w:proofErr w:type="spellEnd"/>
            <w:r w:rsidRPr="008D092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D092F">
              <w:rPr>
                <w:rFonts w:ascii="Candara" w:hAnsi="Candara"/>
                <w:lang w:val="en-US"/>
              </w:rPr>
              <w:t>Djoric</w:t>
            </w:r>
            <w:proofErr w:type="spellEnd"/>
          </w:p>
        </w:tc>
      </w:tr>
      <w:tr w:rsidR="00157804" w:rsidRPr="008D092F">
        <w:trPr>
          <w:trHeight w:val="360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7" w:type="dxa"/>
            <w:gridSpan w:val="4"/>
            <w:tcBorders>
              <w:bottom w:val="single" w:sz="4" w:space="0" w:color="auto"/>
            </w:tcBorders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8D092F">
                  <w:rPr>
                    <w:rFonts w:ascii="Candara" w:hAnsi="Candara"/>
                    <w:lang w:val="en-US"/>
                  </w:rPr>
                  <w:t xml:space="preserve">   </w:t>
                </w:r>
                <w:sdt>
                  <w:sdtPr>
                    <w:rPr>
                      <w:rFonts w:ascii="Candara" w:hAnsi="Candara"/>
                      <w:lang w:val="en-US"/>
                    </w:rPr>
                    <w:id w:val="1112410561"/>
                  </w:sdtPr>
                  <w:sdtEndPr/>
                  <w:sdtContent>
                    <w:r w:rsidRPr="008D092F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  <w:r w:rsidRPr="008D092F">
                  <w:rPr>
                    <w:rFonts w:ascii="Candara" w:eastAsia="MS Gothic" w:hAnsi="MS Gothic"/>
                    <w:lang w:val="en-US"/>
                  </w:rPr>
                  <w:t xml:space="preserve"> 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1272980320"/>
              </w:sdtPr>
              <w:sdtEndPr/>
              <w:sdtContent>
                <w:r w:rsidRPr="008D092F">
                  <w:rPr>
                    <w:rFonts w:ascii="Candara" w:hAnsi="Candara"/>
                    <w:lang w:val="en-US"/>
                  </w:rPr>
                  <w:t xml:space="preserve">  </w:t>
                </w:r>
                <w:r w:rsidRPr="008D092F">
                  <w:rPr>
                    <w:rFonts w:ascii="Candara" w:hAnsi="Candara"/>
                    <w:lang w:val="en-US"/>
                  </w:rPr>
                  <w:sym w:font="Wingdings" w:char="F0FE"/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8D092F">
                  <w:rPr>
                    <w:rFonts w:ascii="Candara" w:hAnsi="Candara"/>
                    <w:lang w:val="en-US"/>
                  </w:rPr>
                  <w:t xml:space="preserve">    </w:t>
                </w:r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 Project work 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17"/>
                  </w:sdtPr>
                  <w:sdtEndPr/>
                  <w:sdtContent>
                    <w:r w:rsidRPr="008D092F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 Seminar</w:t>
            </w:r>
          </w:p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157804" w:rsidRPr="008D092F">
        <w:trPr>
          <w:trHeight w:val="360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10430" w:type="dxa"/>
            <w:gridSpan w:val="7"/>
            <w:vAlign w:val="center"/>
          </w:tcPr>
          <w:p w:rsidR="00157804" w:rsidRPr="008D092F" w:rsidRDefault="008D09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The course objective is to upgrade sociology and social policy students’ knowledge and skills in the field of inequality and poverty measuremen</w:t>
            </w:r>
            <w:r w:rsidRPr="008D092F">
              <w:rPr>
                <w:rFonts w:ascii="Candara" w:hAnsi="Candara"/>
                <w:lang w:val="en-US"/>
              </w:rPr>
              <w:t>t.</w:t>
            </w:r>
            <w:r w:rsidRPr="008D092F">
              <w:rPr>
                <w:rFonts w:ascii="Candara" w:hAnsi="Candara"/>
                <w:lang w:val="en-US"/>
              </w:rPr>
              <w:t xml:space="preserve"> These skills provide students with comparative advantage in employment s</w:t>
            </w:r>
            <w:r>
              <w:rPr>
                <w:rFonts w:ascii="Candara" w:hAnsi="Candara"/>
                <w:lang w:val="en-US"/>
              </w:rPr>
              <w:t>ee</w:t>
            </w:r>
            <w:r w:rsidRPr="008D092F">
              <w:rPr>
                <w:rFonts w:ascii="Candara" w:hAnsi="Candara"/>
                <w:lang w:val="en-US"/>
              </w:rPr>
              <w:t xml:space="preserve">king experts capable of formulating </w:t>
            </w:r>
            <w:r w:rsidRPr="008D092F">
              <w:rPr>
                <w:rFonts w:ascii="Candara" w:hAnsi="Candara"/>
                <w:lang w:val="en-US"/>
              </w:rPr>
              <w:t>inequality and poverty reduction policies based on evidence.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10430" w:type="dxa"/>
            <w:gridSpan w:val="7"/>
            <w:shd w:val="clear" w:color="auto" w:fill="B8CCE4" w:themeFill="accent1" w:themeFillTint="66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10430" w:type="dxa"/>
            <w:gridSpan w:val="7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In the </w:t>
            </w:r>
            <w:r w:rsidRPr="008D092F">
              <w:rPr>
                <w:rFonts w:ascii="Candara" w:hAnsi="Candara"/>
                <w:lang w:val="en-US"/>
              </w:rPr>
              <w:t>course outcome students will be able to:</w:t>
            </w:r>
          </w:p>
          <w:p w:rsidR="00157804" w:rsidRPr="008D092F" w:rsidRDefault="008D092F">
            <w:pPr>
              <w:pStyle w:val="ListParagraph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Read, understand and evaluate statistical reports on economic inequality and poverty</w:t>
            </w:r>
          </w:p>
          <w:p w:rsidR="00157804" w:rsidRPr="008D092F" w:rsidRDefault="008D092F">
            <w:pPr>
              <w:pStyle w:val="ListParagraph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List and </w:t>
            </w:r>
            <w:r w:rsidRPr="008D092F">
              <w:rPr>
                <w:rFonts w:ascii="Candara" w:hAnsi="Candara"/>
              </w:rPr>
              <w:t>analyse</w:t>
            </w:r>
            <w:r w:rsidRPr="008D092F">
              <w:rPr>
                <w:rFonts w:ascii="Candara" w:hAnsi="Candara"/>
                <w:lang w:val="en-US"/>
              </w:rPr>
              <w:t xml:space="preserve"> currently used instruments for measurement of trends in inequality, poverty and social exclusion in the EU and Se</w:t>
            </w:r>
            <w:r w:rsidRPr="008D092F">
              <w:rPr>
                <w:rFonts w:ascii="Candara" w:hAnsi="Candara"/>
                <w:lang w:val="en-US"/>
              </w:rPr>
              <w:t>rbia</w:t>
            </w:r>
          </w:p>
          <w:p w:rsidR="00157804" w:rsidRPr="008D092F" w:rsidRDefault="008D092F">
            <w:pPr>
              <w:pStyle w:val="ListParagraph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 xml:space="preserve">Use and </w:t>
            </w:r>
            <w:r w:rsidRPr="008D092F">
              <w:rPr>
                <w:rFonts w:ascii="Candara" w:hAnsi="Candara"/>
              </w:rPr>
              <w:t>analyse</w:t>
            </w:r>
            <w:r w:rsidRPr="008D092F">
              <w:rPr>
                <w:rFonts w:ascii="Candara" w:hAnsi="Candara"/>
                <w:lang w:val="en-US"/>
              </w:rPr>
              <w:t xml:space="preserve"> databases containing data on living standards, income and consumption</w:t>
            </w:r>
          </w:p>
          <w:p w:rsidR="00157804" w:rsidRPr="008D092F" w:rsidRDefault="008D092F">
            <w:pPr>
              <w:pStyle w:val="ListParagraph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Demonstrate knowledge and understanding of inequality and poverty definitions and inequality distributions under various assumptions of income definition, unit of an</w:t>
            </w:r>
            <w:r w:rsidRPr="008D092F">
              <w:rPr>
                <w:rFonts w:ascii="Candara" w:hAnsi="Candara"/>
                <w:lang w:val="en-US"/>
              </w:rPr>
              <w:t>alysis and equivalence scales</w:t>
            </w:r>
          </w:p>
          <w:p w:rsidR="00157804" w:rsidRPr="008D092F" w:rsidRDefault="008D092F">
            <w:pPr>
              <w:pStyle w:val="ListParagraph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Measure total inequality and poverty by using different measures and statistical packages</w:t>
            </w:r>
          </w:p>
          <w:p w:rsidR="00157804" w:rsidRPr="008D092F" w:rsidRDefault="008D092F">
            <w:pPr>
              <w:pStyle w:val="ListParagraph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  <w:r w:rsidRPr="008D092F">
              <w:rPr>
                <w:rFonts w:ascii="Candara" w:hAnsi="Candara"/>
                <w:lang w:val="en-US"/>
              </w:rPr>
              <w:t>Decompose total inequality by social group and income source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10430" w:type="dxa"/>
            <w:gridSpan w:val="7"/>
            <w:shd w:val="clear" w:color="auto" w:fill="B8CCE4" w:themeFill="accent1" w:themeFillTint="66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10430" w:type="dxa"/>
            <w:gridSpan w:val="7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8D092F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8D092F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En</w:t>
            </w:r>
            <w:r w:rsidRPr="008D092F">
              <w:rPr>
                <w:rFonts w:ascii="Candara" w:hAnsi="Candara"/>
                <w:lang w:val="en-US"/>
              </w:rPr>
              <w:t xml:space="preserve">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8D09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8D092F">
                  <w:rPr>
                    <w:rFonts w:ascii="Candara" w:hAnsi="Candara"/>
                    <w:lang w:val="en-US"/>
                  </w:rPr>
                  <w:t xml:space="preserve"> </w:t>
                </w:r>
                <w:sdt>
                  <w:sdtPr>
                    <w:rPr>
                      <w:rFonts w:ascii="Candara" w:hAnsi="Candara"/>
                      <w:lang w:val="en-US"/>
                    </w:rPr>
                    <w:id w:val="1272980547"/>
                  </w:sdtPr>
                  <w:sdtEndPr/>
                  <w:sdtContent>
                    <w:r w:rsidRPr="008D092F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</w:sdtContent>
            </w:sdt>
            <w:r w:rsidRPr="008D092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2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1272980322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  <w:lang w:val="en-US"/>
                            </w:rPr>
                            <w:id w:val="1272980550"/>
                          </w:sdtPr>
                          <w:sdtEndPr/>
                          <w:sdtContent>
                            <w:r w:rsidRPr="008D092F">
                              <w:rPr>
                                <w:rFonts w:ascii="Candara" w:eastAsia="MS Gothic" w:hAnsi="MS Gothic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8D092F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10430" w:type="dxa"/>
            <w:gridSpan w:val="7"/>
            <w:shd w:val="clear" w:color="auto" w:fill="B8CCE4" w:themeFill="accent1" w:themeFillTint="66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2548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D092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D092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2548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157804" w:rsidRPr="008D092F" w:rsidRDefault="001578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2548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2548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57804" w:rsidRPr="008D092F">
        <w:trPr>
          <w:gridAfter w:val="1"/>
          <w:wAfter w:w="10" w:type="dxa"/>
          <w:trHeight w:val="360"/>
        </w:trPr>
        <w:tc>
          <w:tcPr>
            <w:tcW w:w="10430" w:type="dxa"/>
            <w:gridSpan w:val="7"/>
            <w:shd w:val="clear" w:color="auto" w:fill="auto"/>
            <w:vAlign w:val="center"/>
          </w:tcPr>
          <w:p w:rsidR="00157804" w:rsidRPr="008D092F" w:rsidRDefault="008D09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092F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57804" w:rsidRPr="008D092F" w:rsidRDefault="00157804" w:rsidP="008D092F">
      <w:pPr>
        <w:spacing w:after="0"/>
        <w:ind w:left="1089"/>
        <w:rPr>
          <w:lang w:val="en-US"/>
        </w:rPr>
      </w:pPr>
      <w:bookmarkStart w:id="0" w:name="_GoBack"/>
      <w:bookmarkEnd w:id="0"/>
    </w:p>
    <w:sectPr w:rsidR="00157804" w:rsidRPr="008D092F" w:rsidSect="008D092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463E"/>
    <w:multiLevelType w:val="multilevel"/>
    <w:tmpl w:val="31A84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A16E4"/>
    <w:rsid w:val="000F6001"/>
    <w:rsid w:val="0010391F"/>
    <w:rsid w:val="00127040"/>
    <w:rsid w:val="00157804"/>
    <w:rsid w:val="001D3BF1"/>
    <w:rsid w:val="001D64D3"/>
    <w:rsid w:val="001F14FA"/>
    <w:rsid w:val="001F60E3"/>
    <w:rsid w:val="002319B6"/>
    <w:rsid w:val="00315601"/>
    <w:rsid w:val="00323176"/>
    <w:rsid w:val="003357C0"/>
    <w:rsid w:val="00390584"/>
    <w:rsid w:val="003B32A9"/>
    <w:rsid w:val="003C177A"/>
    <w:rsid w:val="00406F80"/>
    <w:rsid w:val="00431EFA"/>
    <w:rsid w:val="0043691C"/>
    <w:rsid w:val="00493925"/>
    <w:rsid w:val="004C3094"/>
    <w:rsid w:val="004D1C7E"/>
    <w:rsid w:val="004E562D"/>
    <w:rsid w:val="004F35A6"/>
    <w:rsid w:val="005358BF"/>
    <w:rsid w:val="00536D6F"/>
    <w:rsid w:val="005A5D38"/>
    <w:rsid w:val="005B0885"/>
    <w:rsid w:val="005B64BF"/>
    <w:rsid w:val="005D46D7"/>
    <w:rsid w:val="005E0A35"/>
    <w:rsid w:val="00603117"/>
    <w:rsid w:val="0069043C"/>
    <w:rsid w:val="006E40AE"/>
    <w:rsid w:val="006F1F51"/>
    <w:rsid w:val="006F647C"/>
    <w:rsid w:val="00783C57"/>
    <w:rsid w:val="00792CB4"/>
    <w:rsid w:val="0084305A"/>
    <w:rsid w:val="008503FB"/>
    <w:rsid w:val="00864926"/>
    <w:rsid w:val="008A30CE"/>
    <w:rsid w:val="008B1D6B"/>
    <w:rsid w:val="008C31B7"/>
    <w:rsid w:val="008D092F"/>
    <w:rsid w:val="00911529"/>
    <w:rsid w:val="00932B21"/>
    <w:rsid w:val="00956457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50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3F2E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3CCF"/>
  <w15:docId w15:val="{7AF87F85-D00C-4B13-8D0F-A3C424B8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2276D-3D88-4A13-8EB2-8CD7F10E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2017-04-18T12:27:00Z</dcterms:created>
  <dcterms:modified xsi:type="dcterms:W3CDTF">2018-06-07T09:10:00Z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